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E6" w:rsidRPr="00DC4910" w:rsidRDefault="00693AE6" w:rsidP="00693AE6">
      <w:pPr>
        <w:tabs>
          <w:tab w:val="left" w:pos="1680"/>
          <w:tab w:val="left" w:pos="2240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91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638EEC05" wp14:editId="7D016264">
            <wp:simplePos x="0" y="0"/>
            <wp:positionH relativeFrom="column">
              <wp:posOffset>2699385</wp:posOffset>
            </wp:positionH>
            <wp:positionV relativeFrom="paragraph">
              <wp:posOffset>59665</wp:posOffset>
            </wp:positionV>
            <wp:extent cx="689610" cy="8001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93AE6" w:rsidRPr="00DC4910" w:rsidRDefault="00693AE6" w:rsidP="00693AE6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AE6" w:rsidRPr="00DC4910" w:rsidRDefault="00693AE6" w:rsidP="00693AE6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AE6" w:rsidRPr="00DC4910" w:rsidRDefault="00693AE6" w:rsidP="00693AE6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AE6" w:rsidRPr="00DC4910" w:rsidRDefault="00693AE6" w:rsidP="00693AE6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AE6" w:rsidRPr="00DC4910" w:rsidRDefault="00693AE6" w:rsidP="00693AE6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DC49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693AE6" w:rsidRPr="00DC4910" w:rsidRDefault="00693AE6" w:rsidP="00693AE6">
      <w:pPr>
        <w:keepNext/>
        <w:numPr>
          <w:ilvl w:val="1"/>
          <w:numId w:val="2"/>
        </w:numPr>
        <w:tabs>
          <w:tab w:val="left" w:pos="1680"/>
          <w:tab w:val="left" w:pos="224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C49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Российская Федерация</w:t>
      </w:r>
    </w:p>
    <w:p w:rsidR="00693AE6" w:rsidRPr="00DC4910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4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Новгородская область</w:t>
      </w:r>
    </w:p>
    <w:p w:rsidR="00693AE6" w:rsidRPr="00DC4910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4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proofErr w:type="spellStart"/>
      <w:r w:rsidRPr="00DC4910">
        <w:rPr>
          <w:rFonts w:ascii="Times New Roman" w:eastAsia="Times New Roman" w:hAnsi="Times New Roman"/>
          <w:b/>
          <w:sz w:val="28"/>
          <w:szCs w:val="28"/>
          <w:lang w:eastAsia="ru-RU"/>
        </w:rPr>
        <w:t>Боровичский</w:t>
      </w:r>
      <w:proofErr w:type="spellEnd"/>
      <w:r w:rsidRPr="00DC4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</w:p>
    <w:p w:rsidR="00693AE6" w:rsidRPr="00DC4910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AE6" w:rsidRPr="00DC4910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4910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ПРОГРЕССКОГО СЕЛЬСКОГО ПОСЕЛЕНИЯ</w:t>
      </w:r>
    </w:p>
    <w:p w:rsidR="00693AE6" w:rsidRPr="00DC4910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3AE6" w:rsidRPr="00DC4910" w:rsidRDefault="00693AE6" w:rsidP="00693AE6">
      <w:pPr>
        <w:keepNext/>
        <w:numPr>
          <w:ilvl w:val="0"/>
          <w:numId w:val="1"/>
        </w:numPr>
        <w:tabs>
          <w:tab w:val="left" w:pos="1680"/>
          <w:tab w:val="left" w:pos="224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C49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DC49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693AE6" w:rsidRPr="00DC4910" w:rsidRDefault="00693AE6" w:rsidP="00693AE6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9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693AE6" w:rsidRPr="00DC4910" w:rsidRDefault="00693AE6" w:rsidP="00693AE6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4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25.02.2022 № 86</w:t>
      </w:r>
    </w:p>
    <w:p w:rsidR="00693AE6" w:rsidRPr="00DC4910" w:rsidRDefault="00693AE6" w:rsidP="00693AE6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9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п. Прогресс</w:t>
      </w:r>
    </w:p>
    <w:p w:rsidR="00693AE6" w:rsidRPr="00DC4910" w:rsidRDefault="00693AE6" w:rsidP="00693AE6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AE6" w:rsidRPr="00DC4910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4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отчёта о работе Администрации </w:t>
      </w:r>
      <w:proofErr w:type="spellStart"/>
      <w:r w:rsidRPr="00DC4910">
        <w:rPr>
          <w:rFonts w:ascii="Times New Roman" w:eastAsia="Times New Roman" w:hAnsi="Times New Roman"/>
          <w:b/>
          <w:sz w:val="28"/>
          <w:szCs w:val="28"/>
          <w:lang w:eastAsia="ru-RU"/>
        </w:rPr>
        <w:t>Прогресс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за 2021 </w:t>
      </w:r>
      <w:r w:rsidRPr="00DC4910"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</w:p>
    <w:p w:rsidR="00693AE6" w:rsidRPr="00DC4910" w:rsidRDefault="00693AE6" w:rsidP="00693AE6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AE6" w:rsidRPr="00DC4910" w:rsidRDefault="00693AE6" w:rsidP="00693AE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491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Совет депутатов </w:t>
      </w:r>
      <w:proofErr w:type="spellStart"/>
      <w:r w:rsidRPr="00DC4910"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 w:rsidRPr="00DC491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DC4910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693AE6" w:rsidRPr="00DC4910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91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1.Утвердить прилагаемый отчёт о работе Администрации </w:t>
      </w:r>
      <w:proofErr w:type="spellStart"/>
      <w:r w:rsidRPr="00DC4910"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 w:rsidRPr="00DC491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693AE6" w:rsidRPr="00DC4910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91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2.Признать работу Администрации </w:t>
      </w:r>
      <w:proofErr w:type="spellStart"/>
      <w:r w:rsidRPr="00DC491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рогресского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удовлетворительной.</w:t>
      </w:r>
    </w:p>
    <w:p w:rsidR="00693AE6" w:rsidRPr="00DC4910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91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3.Опубликовать решение в бюллетене «Официальный вестник </w:t>
      </w:r>
      <w:proofErr w:type="spellStart"/>
      <w:r w:rsidRPr="00DC4910"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 w:rsidRPr="00DC491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 и разместить на официальном сайте администрации сельского поселения.</w:t>
      </w:r>
    </w:p>
    <w:p w:rsidR="00693AE6" w:rsidRPr="00DC4910" w:rsidRDefault="00693AE6" w:rsidP="00693AE6">
      <w:pPr>
        <w:tabs>
          <w:tab w:val="left" w:pos="0"/>
          <w:tab w:val="left" w:pos="1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AE6" w:rsidRPr="00DC4910" w:rsidRDefault="00693AE6" w:rsidP="00693AE6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4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Заместитель Председателя</w:t>
      </w:r>
      <w:r w:rsidRPr="00DC4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DC4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депутатов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Т.В.  Ефимова</w:t>
      </w:r>
    </w:p>
    <w:p w:rsidR="00693AE6" w:rsidRPr="00A3390F" w:rsidRDefault="00693AE6" w:rsidP="00693AE6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Утверждён                                              </w:t>
      </w: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решением Совета депутатов</w:t>
      </w: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от 25.02.2022 №  86</w:t>
      </w: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ОТЧЁТ</w:t>
      </w: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работе Администрации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за  2021 год</w:t>
      </w:r>
    </w:p>
    <w:p w:rsidR="00693AE6" w:rsidRPr="003521B2" w:rsidRDefault="00693AE6" w:rsidP="00693AE6">
      <w:pPr>
        <w:tabs>
          <w:tab w:val="left" w:pos="1680"/>
          <w:tab w:val="left" w:pos="2240"/>
          <w:tab w:val="left" w:pos="30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1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693AE6" w:rsidRPr="00EA3856" w:rsidRDefault="00693AE6" w:rsidP="00693AE6">
      <w:pPr>
        <w:pStyle w:val="a3"/>
        <w:rPr>
          <w:rFonts w:ascii="Times New Roman" w:hAnsi="Times New Roman"/>
        </w:rPr>
      </w:pPr>
      <w:r w:rsidRPr="00EA3856">
        <w:rPr>
          <w:rFonts w:ascii="Times New Roman" w:hAnsi="Times New Roman"/>
        </w:rPr>
        <w:t xml:space="preserve">            Уважаемые жители </w:t>
      </w:r>
      <w:proofErr w:type="spellStart"/>
      <w:r w:rsidRPr="00EA3856">
        <w:rPr>
          <w:rFonts w:ascii="Times New Roman" w:hAnsi="Times New Roman"/>
        </w:rPr>
        <w:t>Прогресского</w:t>
      </w:r>
      <w:proofErr w:type="spellEnd"/>
      <w:r w:rsidRPr="00EA3856">
        <w:rPr>
          <w:rFonts w:ascii="Times New Roman" w:hAnsi="Times New Roman"/>
        </w:rPr>
        <w:t xml:space="preserve"> сельского поселения!</w:t>
      </w:r>
    </w:p>
    <w:p w:rsidR="00693AE6" w:rsidRDefault="00693AE6" w:rsidP="00693AE6">
      <w:pPr>
        <w:pStyle w:val="a3"/>
        <w:rPr>
          <w:rFonts w:ascii="Times New Roman" w:hAnsi="Times New Roman"/>
        </w:rPr>
      </w:pPr>
      <w:r w:rsidRPr="00EA3856">
        <w:rPr>
          <w:rFonts w:ascii="Times New Roman" w:hAnsi="Times New Roman"/>
        </w:rPr>
        <w:tab/>
        <w:t xml:space="preserve">В соответствии с Уставом </w:t>
      </w:r>
      <w:proofErr w:type="spellStart"/>
      <w:r w:rsidRPr="00EA3856">
        <w:rPr>
          <w:rFonts w:ascii="Times New Roman" w:hAnsi="Times New Roman"/>
        </w:rPr>
        <w:t>Прогресского</w:t>
      </w:r>
      <w:proofErr w:type="spellEnd"/>
      <w:r w:rsidRPr="00EA3856">
        <w:rPr>
          <w:rFonts w:ascii="Times New Roman" w:hAnsi="Times New Roman"/>
        </w:rPr>
        <w:t xml:space="preserve"> сельского поселения представляю вашему вниманию отчет о результатах деятельности Администрации </w:t>
      </w:r>
      <w:proofErr w:type="spellStart"/>
      <w:r w:rsidRPr="00EA3856">
        <w:rPr>
          <w:rFonts w:ascii="Times New Roman" w:hAnsi="Times New Roman"/>
        </w:rPr>
        <w:t>Прогресского</w:t>
      </w:r>
      <w:proofErr w:type="spellEnd"/>
      <w:r w:rsidRPr="00EA3856">
        <w:rPr>
          <w:rFonts w:ascii="Times New Roman" w:hAnsi="Times New Roman"/>
        </w:rPr>
        <w:t xml:space="preserve"> сельского поселения в 2021</w:t>
      </w:r>
      <w:r>
        <w:rPr>
          <w:rFonts w:ascii="Times New Roman" w:hAnsi="Times New Roman"/>
        </w:rPr>
        <w:t xml:space="preserve"> году.</w:t>
      </w:r>
    </w:p>
    <w:p w:rsidR="00693AE6" w:rsidRDefault="00693AE6" w:rsidP="00693AE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A3856">
        <w:rPr>
          <w:rFonts w:ascii="Times New Roman" w:hAnsi="Times New Roman"/>
        </w:rPr>
        <w:t xml:space="preserve">Администрация </w:t>
      </w:r>
      <w:proofErr w:type="spellStart"/>
      <w:r w:rsidRPr="00EA3856">
        <w:rPr>
          <w:rFonts w:ascii="Times New Roman" w:hAnsi="Times New Roman"/>
        </w:rPr>
        <w:t>Прогресского</w:t>
      </w:r>
      <w:proofErr w:type="spellEnd"/>
      <w:r w:rsidRPr="00EA3856">
        <w:rPr>
          <w:rFonts w:ascii="Times New Roman" w:hAnsi="Times New Roman"/>
        </w:rPr>
        <w:t xml:space="preserve"> сельского поселения осуществляет свою деятельность в соответствии с Конституцией РФ, Федеральным законом от 06.10.2003 №131 </w:t>
      </w:r>
      <w:r>
        <w:rPr>
          <w:rFonts w:ascii="Times New Roman" w:hAnsi="Times New Roman"/>
        </w:rPr>
        <w:t xml:space="preserve">– ФЗ </w:t>
      </w:r>
      <w:r w:rsidRPr="00EA3856">
        <w:rPr>
          <w:rFonts w:ascii="Times New Roman" w:hAnsi="Times New Roman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 w:rsidRPr="00EA3856">
        <w:rPr>
          <w:rFonts w:ascii="Times New Roman" w:hAnsi="Times New Roman"/>
        </w:rPr>
        <w:t>Прогресского</w:t>
      </w:r>
      <w:proofErr w:type="spellEnd"/>
      <w:r w:rsidRPr="00EA3856">
        <w:rPr>
          <w:rFonts w:ascii="Times New Roman" w:hAnsi="Times New Roman"/>
        </w:rPr>
        <w:t xml:space="preserve"> сельского поселения, и исполняет   возложенные на администрацию полномочия в рамках имеющихся финансовых возможностей.</w:t>
      </w:r>
    </w:p>
    <w:p w:rsidR="00693AE6" w:rsidRPr="00EA3856" w:rsidRDefault="00693AE6" w:rsidP="00693AE6">
      <w:pPr>
        <w:pStyle w:val="a3"/>
        <w:rPr>
          <w:rFonts w:ascii="Times New Roman" w:hAnsi="Times New Roman"/>
        </w:rPr>
      </w:pPr>
      <w:r w:rsidRPr="00EA3856">
        <w:rPr>
          <w:rFonts w:ascii="Times New Roman" w:hAnsi="Times New Roman"/>
        </w:rPr>
        <w:tab/>
        <w:t xml:space="preserve">Нужно отметить, исполнение поставленных задач в 2021 году, как и в 2020 году,  </w:t>
      </w:r>
      <w:r>
        <w:rPr>
          <w:rFonts w:ascii="Times New Roman" w:hAnsi="Times New Roman"/>
        </w:rPr>
        <w:t>происходило в условиях пандемии.</w:t>
      </w:r>
    </w:p>
    <w:p w:rsidR="00693AE6" w:rsidRPr="00EA3856" w:rsidRDefault="00693AE6" w:rsidP="00693AE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A3856">
        <w:rPr>
          <w:rFonts w:ascii="Times New Roman" w:hAnsi="Times New Roman"/>
        </w:rPr>
        <w:t>На  территории сельского поселения 29  населенных пунктов, из них 2 посёлка и 27 деревень.  Общая  площадь сельского поселения   - 18300 га.</w:t>
      </w:r>
    </w:p>
    <w:p w:rsidR="00693AE6" w:rsidRDefault="00693AE6" w:rsidP="00693AE6">
      <w:pPr>
        <w:pStyle w:val="a3"/>
        <w:rPr>
          <w:rFonts w:ascii="Times New Roman" w:hAnsi="Times New Roman"/>
        </w:rPr>
      </w:pPr>
      <w:r w:rsidRPr="00EA3856">
        <w:rPr>
          <w:rFonts w:ascii="Times New Roman" w:hAnsi="Times New Roman"/>
        </w:rPr>
        <w:tab/>
        <w:t>Численность населения по состоянию  на 1 ян</w:t>
      </w:r>
      <w:r>
        <w:rPr>
          <w:rFonts w:ascii="Times New Roman" w:hAnsi="Times New Roman"/>
        </w:rPr>
        <w:t>варя 2021 года   составила  2388</w:t>
      </w:r>
      <w:r w:rsidRPr="00EA3856">
        <w:rPr>
          <w:rFonts w:ascii="Times New Roman" w:hAnsi="Times New Roman"/>
        </w:rPr>
        <w:t xml:space="preserve"> человек.</w:t>
      </w:r>
    </w:p>
    <w:p w:rsidR="00693AE6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п. Прогресс 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>осуществляли деятельность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сад,  почтовое отделение, Дом культуры, библиотека, </w:t>
      </w:r>
      <w:r w:rsidRPr="00F55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ГОБУЗ «Центр общей врачебной (семейной) практики Прогресс»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сожалению, в других населенных  пунктах культурных, медицинских учреждений не имеется. Медицинское обслуживание населения в деревнях сельского поселения осущ</w:t>
      </w:r>
      <w:r w:rsidR="00AD739A">
        <w:rPr>
          <w:rFonts w:ascii="Times New Roman" w:eastAsia="Times New Roman" w:hAnsi="Times New Roman"/>
          <w:sz w:val="24"/>
          <w:szCs w:val="24"/>
          <w:lang w:eastAsia="ru-RU"/>
        </w:rPr>
        <w:t xml:space="preserve">ествляли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учреждения, расположенные на территории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Волокского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Кончанско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-Суворовского поселений, </w:t>
      </w:r>
      <w:r w:rsidR="00AD739A">
        <w:rPr>
          <w:rFonts w:ascii="Times New Roman" w:eastAsia="Times New Roman" w:hAnsi="Times New Roman"/>
          <w:sz w:val="24"/>
          <w:szCs w:val="24"/>
          <w:lang w:eastAsia="ru-RU"/>
        </w:rPr>
        <w:t xml:space="preserve"> жителей п. Раздолье обслуживал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ФАП ПМК-3 .</w:t>
      </w:r>
    </w:p>
    <w:p w:rsidR="00693AE6" w:rsidRPr="00841054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Торговое обслуживание населения отдалённых деревень осуществлялось  автолавками, которые выезжали в деревни по графику с необходимым набором продуктов. Жалоб  от жителей деревень на работу автолавок  в администрацию се</w:t>
      </w:r>
      <w:r w:rsidR="00AD739A">
        <w:rPr>
          <w:rFonts w:ascii="Times New Roman" w:eastAsia="Times New Roman" w:hAnsi="Times New Roman"/>
          <w:sz w:val="24"/>
          <w:szCs w:val="24"/>
          <w:lang w:eastAsia="ru-RU"/>
        </w:rPr>
        <w:t xml:space="preserve">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поступало.</w:t>
      </w:r>
    </w:p>
    <w:p w:rsidR="00693AE6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области  нормотворческой деятельности администрация сельского поселения работала под  контролем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Боровичской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межрайонной  прокуратуры. За 2021 год  направлено 43 проекта постановлений, 21 проект  решений. Администрацией сельского поселения  ежемесячно представлялись  нормативные правовые акты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Боровичскую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межрайонную прокуратуру,    направлялись   в ГОКУ «Центр муниципальной правовой информации» в г. В. Новгород, размещались на сайте сельского поселения,  публиковались в  бюллетене «Официальный вестник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поселения».  С НПА, опубликованными в бюллетене «Официальный вестник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поселения», жители поселения могли ознакомиться  на  официальном сайте администрации сельского поселения  в сети Интернет в разделе «Газета». </w:t>
      </w:r>
    </w:p>
    <w:p w:rsidR="00693AE6" w:rsidRPr="00841054" w:rsidRDefault="00693AE6" w:rsidP="00693AE6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EA3856">
        <w:rPr>
          <w:rFonts w:ascii="Times New Roman" w:hAnsi="Times New Roman"/>
          <w:lang w:eastAsia="ru-RU"/>
        </w:rPr>
        <w:t xml:space="preserve">Администрацией сельского поселения  за 2021 год принято  147 постановлений , 73 распоряжения по основной деятельности, 96 распоряжений по личному составу. </w:t>
      </w:r>
    </w:p>
    <w:p w:rsidR="00693AE6" w:rsidRPr="00EA3856" w:rsidRDefault="00693AE6" w:rsidP="00693AE6">
      <w:pPr>
        <w:pStyle w:val="a3"/>
        <w:jc w:val="both"/>
        <w:rPr>
          <w:rFonts w:ascii="Times New Roman" w:hAnsi="Times New Roman"/>
          <w:lang w:eastAsia="ru-RU"/>
        </w:rPr>
      </w:pPr>
      <w:r w:rsidRPr="00EA3856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А</w:t>
      </w:r>
      <w:r w:rsidRPr="00EA3856">
        <w:rPr>
          <w:rFonts w:ascii="Times New Roman" w:hAnsi="Times New Roman"/>
          <w:lang w:eastAsia="ru-RU"/>
        </w:rPr>
        <w:t>дминистрацией сельского поселения предоставлялось 16 муниципальных услуг.  В  администрации  поселения  работал специалист Многофункционального центра по оказанию государственных  и муниципальных услуг. Прием посетителей осуществлялся, в основном,   по предварительной записи в связи с неблагоприятной эпидемиологической обстановкой.</w:t>
      </w:r>
    </w:p>
    <w:p w:rsidR="00693AE6" w:rsidRPr="006C20CB" w:rsidRDefault="00693AE6" w:rsidP="00693A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6AC">
        <w:rPr>
          <w:rFonts w:ascii="Times New Roman" w:eastAsia="Times New Roman" w:hAnsi="Times New Roman"/>
          <w:sz w:val="24"/>
          <w:szCs w:val="24"/>
          <w:lang w:eastAsia="ru-RU"/>
        </w:rPr>
        <w:t xml:space="preserve">В 2021 году в администрацию сельского поселения поступило 88 обращений о предоставлении муниципальных услуг, что на 3,5% больше чем в 2020 году.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Заявители обращались по вопросам присвоения адресов земельным участкам и зданиям, предоставления справок и выписок из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книг, предоставления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разрешения на проведение земляных работ. </w:t>
      </w:r>
      <w:r w:rsidRPr="00FB66AC">
        <w:rPr>
          <w:rFonts w:ascii="Times New Roman" w:eastAsia="Times New Roman" w:hAnsi="Times New Roman"/>
          <w:sz w:val="24"/>
          <w:szCs w:val="24"/>
          <w:lang w:eastAsia="ru-RU"/>
        </w:rPr>
        <w:t>Из общего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количества оказанных услуг </w:t>
      </w:r>
      <w:r w:rsidRPr="00FB66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преобладала </w:t>
      </w:r>
      <w:r w:rsidRPr="00FB66AC">
        <w:rPr>
          <w:rFonts w:ascii="Times New Roman" w:eastAsia="Times New Roman" w:hAnsi="Times New Roman"/>
          <w:sz w:val="24"/>
          <w:szCs w:val="24"/>
          <w:lang w:eastAsia="ru-RU"/>
        </w:rPr>
        <w:t>услуга по присвоению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изменению и </w:t>
      </w:r>
      <w:r w:rsidRPr="00FB66AC">
        <w:rPr>
          <w:rFonts w:ascii="Times New Roman" w:eastAsia="Times New Roman" w:hAnsi="Times New Roman"/>
          <w:sz w:val="24"/>
          <w:szCs w:val="24"/>
          <w:lang w:eastAsia="ru-RU"/>
        </w:rPr>
        <w:t>аннули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рованию адреса-  61 обращение, или 69%,что на 21% больше, чем в 2020 году; 20% составила </w:t>
      </w:r>
      <w:r w:rsidRPr="00FB66AC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услуга по предоставлению выписки из </w:t>
      </w:r>
      <w:proofErr w:type="spellStart"/>
      <w:r w:rsidRPr="00FB66AC">
        <w:rPr>
          <w:rFonts w:ascii="Times New Roman" w:eastAsia="Times New Roman" w:hAnsi="Times New Roman"/>
          <w:sz w:val="24"/>
          <w:szCs w:val="24"/>
          <w:lang w:eastAsia="ru-RU"/>
        </w:rPr>
        <w:t>похоз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яйственной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книги, или 17 обращений.</w:t>
      </w:r>
    </w:p>
    <w:p w:rsidR="00693AE6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Всего в 2021 году поступило  40 обращений граждан (в 2020 году-37 обращений). Граждане обращались   по вопросам ремонта дорожной сети, спиливания аварийных деревьев,</w:t>
      </w:r>
      <w:r w:rsidRPr="00547B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уличного освещения,  отлова собак без владельцев. Все обращения рассматривались в срок, направлялись ответы заявителям. Нужно отметить, что остро стояла</w:t>
      </w:r>
      <w:r w:rsidR="00AD739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проблема   отлова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собак без владельцев.  По информации МБУ «Служба заказчика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Боровичского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района», неоднократно объявлялись конкурсы по отбору организации, которая осуществляла бы отлов собак,  но конкурсы признавались не состоявшимися  ввиду отсутствия заявок. </w:t>
      </w:r>
    </w:p>
    <w:p w:rsidR="00693AE6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Администрацией сельского поселения совершено 5 нотариальных действий на общую сумму 800 рублей (в  2020 году  совершено 4 нотариальных действия на сумму 750 рублей).</w:t>
      </w:r>
    </w:p>
    <w:p w:rsidR="00693AE6" w:rsidRPr="009454DC" w:rsidRDefault="00693AE6" w:rsidP="00693AE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2021 году на территории сельского осуществляли  деятельность </w:t>
      </w:r>
      <w:r w:rsidRPr="00841054"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крестьянских (фермерских) хозяйств, более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 частных и индивидуальных предприятий.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454DC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454DC">
        <w:rPr>
          <w:rFonts w:ascii="Times New Roman" w:eastAsia="Times New Roman" w:hAnsi="Times New Roman"/>
          <w:sz w:val="24"/>
          <w:szCs w:val="24"/>
          <w:lang w:eastAsia="ru-RU"/>
        </w:rPr>
        <w:t xml:space="preserve">КФХ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индивидуальных предприятий  практически осталось  прежним.</w:t>
      </w:r>
    </w:p>
    <w:p w:rsidR="00693AE6" w:rsidRPr="00F550D8" w:rsidRDefault="00693AE6" w:rsidP="00693AE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ФИНАНСОВОЕ ОБЕСПЕЧЕНИЕ СЕЛЬСКОГО ПОСЕЛЕНИЯ</w:t>
      </w: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AE6" w:rsidRPr="00AF6EBC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79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Одним из главных вопросов местного значения поселения является формирование, утверждение, исполнение бюджета поселения и </w:t>
      </w:r>
      <w:proofErr w:type="gramStart"/>
      <w:r w:rsidRPr="001D79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1D79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его исполнени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ем, так как реализация </w:t>
      </w:r>
      <w:r w:rsidRPr="001D79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полномочий органов местного самоуправления в полной мере зависит от обеспеченности финансами.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3AE6" w:rsidRDefault="00693AE6" w:rsidP="00693AE6">
      <w:pPr>
        <w:tabs>
          <w:tab w:val="left" w:pos="0"/>
          <w:tab w:val="left" w:pos="1680"/>
          <w:tab w:val="left" w:pos="2240"/>
          <w:tab w:val="left" w:pos="311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AE6" w:rsidRPr="00F550D8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бюджет  поселения за 2021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поступило   доходов  от  всех источников – 9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855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>5,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82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 xml:space="preserve">  руб., при плане 9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723 26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,77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 и это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101,4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 xml:space="preserve"> % к плану:  </w:t>
      </w:r>
    </w:p>
    <w:p w:rsidR="00693AE6" w:rsidRPr="00F550D8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ab/>
        <w:t>Дотации на выравнивание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бюджетной обеспеченности – 4 27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>8 900 руб.</w:t>
      </w:r>
    </w:p>
    <w:p w:rsidR="00693AE6" w:rsidRPr="00F550D8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ab/>
        <w:t>Субвенция на воинский учёт                                            -   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>0  руб.</w:t>
      </w:r>
    </w:p>
    <w:p w:rsidR="00693AE6" w:rsidRPr="00F550D8" w:rsidRDefault="00693AE6" w:rsidP="00693AE6">
      <w:pPr>
        <w:tabs>
          <w:tab w:val="left" w:pos="0"/>
          <w:tab w:val="left" w:pos="2240"/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Субсидии сельским поселениям на формирование         - 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838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> 000 руб.</w:t>
      </w:r>
    </w:p>
    <w:p w:rsidR="00693AE6" w:rsidRDefault="00693AE6" w:rsidP="00693AE6">
      <w:pPr>
        <w:tabs>
          <w:tab w:val="left" w:pos="0"/>
          <w:tab w:val="left" w:pos="2240"/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муниципальных дорожных фондов</w:t>
      </w:r>
    </w:p>
    <w:p w:rsidR="00693AE6" w:rsidRPr="00F550D8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93AE6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Собственные доходы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составили 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>3 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074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582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05  руб. 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плане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942 8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 xml:space="preserve">00 руб.; и это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104,5% к плану.  </w:t>
      </w:r>
    </w:p>
    <w:p w:rsidR="00693AE6" w:rsidRPr="00F550D8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ab/>
        <w:t>Из чего состоят доходы:</w:t>
      </w:r>
    </w:p>
    <w:p w:rsidR="00693AE6" w:rsidRPr="00F550D8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Налог на доходы физических лиц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66 865,54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:rsidR="00693AE6" w:rsidRPr="00F550D8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Налог на имущество физ. лиц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1 269 931,33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:rsidR="00693AE6" w:rsidRPr="00F550D8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Земельный налог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990 547,25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 </w:t>
      </w:r>
    </w:p>
    <w:p w:rsidR="00693AE6" w:rsidRPr="00F550D8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Государственная пошлина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800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 xml:space="preserve">  руб.</w:t>
      </w:r>
    </w:p>
    <w:p w:rsidR="00693AE6" w:rsidRPr="00F550D8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ab/>
        <w:t>Единый сель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хозналог                       179,21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:rsidR="00693AE6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ab/>
        <w:t>Акцизы на топ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ливо                          746 258,72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 xml:space="preserve">  руб.</w:t>
      </w:r>
    </w:p>
    <w:p w:rsidR="00693AE6" w:rsidRPr="00F550D8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AE6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3A65">
        <w:rPr>
          <w:rFonts w:ascii="Times New Roman" w:eastAsia="Times New Roman" w:hAnsi="Times New Roman"/>
          <w:sz w:val="24"/>
          <w:szCs w:val="24"/>
          <w:lang w:eastAsia="ru-RU"/>
        </w:rPr>
        <w:t>Основными составляющими доходов бюджета составляют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 на имущество физических 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земельный налог, а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>кцизы на топливо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693AE6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Доходы от оплаты налога на имущество физических лиц увеличились на 16140,63 руб., или на 1,6%. Доходы от оплаты   земельного налога уменьшились на 15%, или на 126 911,16 руб. Поступление акцизов увеличилось на 91077, 49 руб.</w:t>
      </w:r>
    </w:p>
    <w:p w:rsidR="00693AE6" w:rsidRDefault="00693AE6" w:rsidP="00693AE6">
      <w:pPr>
        <w:tabs>
          <w:tab w:val="left" w:pos="0"/>
          <w:tab w:val="left" w:pos="1680"/>
          <w:tab w:val="left" w:pos="2240"/>
          <w:tab w:val="left" w:pos="311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AE6" w:rsidRDefault="00693AE6" w:rsidP="00693AE6">
      <w:pPr>
        <w:tabs>
          <w:tab w:val="left" w:pos="0"/>
          <w:tab w:val="left" w:pos="1680"/>
          <w:tab w:val="left" w:pos="2240"/>
          <w:tab w:val="left" w:pos="311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AE6" w:rsidRDefault="00693AE6" w:rsidP="00693AE6">
      <w:pPr>
        <w:tabs>
          <w:tab w:val="left" w:pos="0"/>
          <w:tab w:val="left" w:pos="1680"/>
          <w:tab w:val="left" w:pos="2240"/>
          <w:tab w:val="left" w:pos="311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AE6" w:rsidRDefault="00693AE6" w:rsidP="00693AE6">
      <w:pPr>
        <w:tabs>
          <w:tab w:val="left" w:pos="0"/>
          <w:tab w:val="left" w:pos="1680"/>
          <w:tab w:val="left" w:pos="2240"/>
          <w:tab w:val="left" w:pos="311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ДОРОГИ МЕСТНОГО ЗНАЧЕНИЯ</w:t>
      </w:r>
    </w:p>
    <w:p w:rsidR="00693AE6" w:rsidRDefault="00693AE6" w:rsidP="00693AE6">
      <w:pPr>
        <w:tabs>
          <w:tab w:val="left" w:pos="0"/>
          <w:tab w:val="left" w:pos="1680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AE6" w:rsidRPr="00C15CB7" w:rsidRDefault="00693AE6" w:rsidP="00693AE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15CB7">
        <w:rPr>
          <w:rFonts w:ascii="Times New Roman" w:eastAsia="Times New Roman" w:hAnsi="Times New Roman"/>
          <w:sz w:val="24"/>
          <w:szCs w:val="24"/>
          <w:lang w:eastAsia="ru-RU"/>
        </w:rPr>
        <w:t xml:space="preserve">    Дорожный фонд в 2021 году составил 2 462 531 рублей 92</w:t>
      </w:r>
      <w:r w:rsidRPr="00C15CB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C15CB7">
        <w:rPr>
          <w:rFonts w:ascii="Times New Roman" w:eastAsia="Times New Roman" w:hAnsi="Times New Roman"/>
          <w:sz w:val="24"/>
          <w:szCs w:val="24"/>
          <w:lang w:eastAsia="ru-RU"/>
        </w:rPr>
        <w:t xml:space="preserve">копейки, в том числе субсидия из областного бюджета – 1 838 000 руб., что составило 74,6% дорожного фонда </w:t>
      </w:r>
      <w:proofErr w:type="spellStart"/>
      <w:r w:rsidRPr="00C15CB7">
        <w:rPr>
          <w:rFonts w:ascii="Times New Roman" w:eastAsia="Times New Roman" w:hAnsi="Times New Roman"/>
          <w:sz w:val="24"/>
          <w:szCs w:val="24"/>
          <w:lang w:eastAsia="ru-RU"/>
        </w:rPr>
        <w:t>Прогресского</w:t>
      </w:r>
      <w:proofErr w:type="spellEnd"/>
      <w:r w:rsidRPr="00C15CB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поселения.  </w:t>
      </w:r>
    </w:p>
    <w:p w:rsidR="00693AE6" w:rsidRPr="00C15CB7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B7">
        <w:rPr>
          <w:rFonts w:ascii="Times New Roman" w:eastAsia="Times New Roman" w:hAnsi="Times New Roman"/>
          <w:sz w:val="24"/>
          <w:szCs w:val="24"/>
          <w:lang w:eastAsia="ru-RU"/>
        </w:rPr>
        <w:tab/>
        <w:t>Расходование средств дорожного фонда осуществлялось в соответствии с планом   ремонта дорог, утвержденным Советом депутатов.</w:t>
      </w:r>
    </w:p>
    <w:p w:rsidR="00693AE6" w:rsidRPr="00C15CB7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B7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Выполнены следующие мероприятия и затрачены денежные средства в следующих суммах:</w:t>
      </w:r>
      <w:r w:rsidRPr="00C15C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3AE6" w:rsidRPr="00C15CB7" w:rsidRDefault="00693AE6" w:rsidP="00693AE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CB7">
        <w:rPr>
          <w:rFonts w:ascii="Times New Roman" w:hAnsi="Times New Roman"/>
          <w:sz w:val="24"/>
          <w:szCs w:val="24"/>
          <w:lang w:eastAsia="ru-RU"/>
        </w:rPr>
        <w:tab/>
        <w:t xml:space="preserve">1.Проведен   аукцион   по ремонту   дорог   в п. Прогресс: </w:t>
      </w:r>
      <w:proofErr w:type="gramStart"/>
      <w:r w:rsidRPr="00C15CB7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C15CB7">
        <w:rPr>
          <w:rFonts w:ascii="Times New Roman" w:hAnsi="Times New Roman"/>
          <w:sz w:val="24"/>
          <w:szCs w:val="24"/>
          <w:lang w:eastAsia="ru-RU"/>
        </w:rPr>
        <w:t xml:space="preserve">ул. Гагарина у д.№17, </w:t>
      </w:r>
    </w:p>
    <w:p w:rsidR="00693AE6" w:rsidRPr="00C15CB7" w:rsidRDefault="00693AE6" w:rsidP="00693AE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CB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амбулатории, д. №18а и </w:t>
      </w:r>
      <w:r w:rsidRPr="00C15CB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пер</w:t>
      </w:r>
      <w:r w:rsidR="00215358">
        <w:rPr>
          <w:rFonts w:ascii="Times New Roman" w:hAnsi="Times New Roman"/>
          <w:sz w:val="24"/>
          <w:szCs w:val="24"/>
          <w:lang w:eastAsia="ru-RU"/>
        </w:rPr>
        <w:t>.</w:t>
      </w:r>
      <w:r w:rsidRPr="00C15CB7">
        <w:rPr>
          <w:rFonts w:ascii="Times New Roman" w:hAnsi="Times New Roman"/>
          <w:sz w:val="24"/>
          <w:szCs w:val="24"/>
          <w:lang w:eastAsia="ru-RU"/>
        </w:rPr>
        <w:t xml:space="preserve"> Новый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C15CB7">
        <w:rPr>
          <w:rFonts w:ascii="Times New Roman" w:hAnsi="Times New Roman"/>
          <w:sz w:val="24"/>
          <w:szCs w:val="24"/>
          <w:lang w:eastAsia="ru-RU"/>
        </w:rPr>
        <w:t xml:space="preserve">   общей площадью  3670,9 кв.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5CB7">
        <w:rPr>
          <w:rFonts w:ascii="Times New Roman" w:hAnsi="Times New Roman"/>
          <w:sz w:val="24"/>
          <w:szCs w:val="24"/>
          <w:lang w:eastAsia="ru-RU"/>
        </w:rPr>
        <w:t>м  и общей протяженностью - 0,548 км на сумму 2 137 731 рубль 92 копейки. Ремонт дорог производил</w:t>
      </w:r>
      <w:proofErr w:type="gramStart"/>
      <w:r w:rsidRPr="00C15CB7">
        <w:rPr>
          <w:rFonts w:ascii="Times New Roman" w:hAnsi="Times New Roman"/>
          <w:sz w:val="24"/>
          <w:szCs w:val="24"/>
          <w:lang w:eastAsia="ru-RU"/>
        </w:rPr>
        <w:t>о ООО</w:t>
      </w:r>
      <w:proofErr w:type="gramEnd"/>
      <w:r w:rsidRPr="00C15CB7">
        <w:rPr>
          <w:rFonts w:ascii="Times New Roman" w:hAnsi="Times New Roman"/>
          <w:sz w:val="24"/>
          <w:szCs w:val="24"/>
          <w:lang w:eastAsia="ru-RU"/>
        </w:rPr>
        <w:t xml:space="preserve"> «Альянс Групп».</w:t>
      </w:r>
    </w:p>
    <w:p w:rsidR="00693AE6" w:rsidRPr="00C15CB7" w:rsidRDefault="00693AE6" w:rsidP="00693A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15CB7">
        <w:rPr>
          <w:rFonts w:ascii="Times New Roman" w:eastAsia="Times New Roman" w:hAnsi="Times New Roman"/>
          <w:sz w:val="24"/>
          <w:szCs w:val="24"/>
          <w:lang w:eastAsia="ru-RU"/>
        </w:rPr>
        <w:t>2. В   рамках   зимнего    содержания    дорог сельского поселения израсходовано 147 200  руб.</w:t>
      </w:r>
    </w:p>
    <w:p w:rsidR="00693AE6" w:rsidRPr="00C15CB7" w:rsidRDefault="00693AE6" w:rsidP="00693AE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B7">
        <w:rPr>
          <w:rFonts w:ascii="Times New Roman" w:eastAsia="Times New Roman" w:hAnsi="Times New Roman"/>
          <w:sz w:val="24"/>
          <w:szCs w:val="24"/>
          <w:lang w:eastAsia="ru-RU"/>
        </w:rPr>
        <w:tab/>
        <w:t>3.Проведена проверка смет для аукциона на ремонт дорог,  израсходовано   17 100 руб. С 2017 года проверка смет на ремонт дорог в Региональном центре ценообразования является обязательной процедурой, так как расходуются средства регионального дорожного фонда (субсидия) и  во избежание  нецелевого и необоснованного использования средств дорожного фонда.</w:t>
      </w:r>
    </w:p>
    <w:p w:rsidR="00693AE6" w:rsidRPr="00C15CB7" w:rsidRDefault="00693AE6" w:rsidP="00693AE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5CB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К сожалению, при  недостаточном финансировании и растущих ценах на ремонт дорог нет возможности привести дорожное полотно в нормативное состояние на всех требующих ремонта участках дорог. </w:t>
      </w:r>
    </w:p>
    <w:p w:rsidR="00693AE6" w:rsidRPr="00C15CB7" w:rsidRDefault="00693AE6" w:rsidP="00693AE6">
      <w:pPr>
        <w:tabs>
          <w:tab w:val="left" w:pos="0"/>
          <w:tab w:val="left" w:pos="168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Итого,  в 2021 году в области дорожной деятельности затрачено 2 462 531 рубль 92 копейки, что на 127  534 рублей 46 копеек больше, чем в 2020 году.</w:t>
      </w: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ОРГАНИЗАЦИЯ БЛАГОУСТРОЙСТВА, ОЗЕЛЕНЕНИЯ, СБОРА И ВЫВОЗА БЫТОВЫХ ОТХОДОВ И МУСОРА</w:t>
      </w: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93AE6" w:rsidRPr="00A67F7B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Ежегодно а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 мероприятия по благоустройству, уборке и озеленению территории сельского поселения. </w:t>
      </w:r>
    </w:p>
    <w:p w:rsidR="00693AE6" w:rsidRPr="00A67F7B" w:rsidRDefault="00693AE6" w:rsidP="00693A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В 2021 году с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>бор и вывоз бытового мус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ора из жилой зоны осуществлялся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специализированной организацией ООО «</w:t>
      </w:r>
      <w:proofErr w:type="spellStart"/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>Спецтранс</w:t>
      </w:r>
      <w:proofErr w:type="spellEnd"/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», являющейся региональным оператором.  </w:t>
      </w:r>
    </w:p>
    <w:p w:rsidR="00693AE6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Одной из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проблем в нашем поселении  продолжают являться    несанкционированные свалки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2021 году были ликвидированы несанкционированные свалки 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п. Прогресс в районе д.№8  по ул. Строителей (у контейнерной площадки), по ул. Гагарина   у д.№12,     напротив  д.№18     (у контейнерной    площадки),     у дороги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3AE6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Шестниково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а эти цели </w:t>
      </w:r>
      <w:r w:rsidRPr="00EF3A97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израсходовано 105 750 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рублей. </w:t>
      </w:r>
    </w:p>
    <w:p w:rsidR="00693AE6" w:rsidRPr="00A67F7B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из причин образования несанкционированных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является  низкий уровень  культуры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жителей поселения 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>в сфере обращения с твердыми коммунальными отходами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93AE6" w:rsidRPr="00EF3A97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трация сельского поселения вела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 по спиливанию аварийных дерев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ьев и вырубке кустарника. В 2021 году  спилено и вывезено 3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>аварийных</w:t>
      </w:r>
      <w:proofErr w:type="gramEnd"/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  дерев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 На эти работы </w:t>
      </w:r>
      <w:r w:rsidRPr="00EF3A97">
        <w:rPr>
          <w:rFonts w:ascii="Times New Roman" w:eastAsia="Times New Roman" w:hAnsi="Times New Roman"/>
          <w:sz w:val="24"/>
          <w:szCs w:val="24"/>
          <w:lang w:eastAsia="ru-RU"/>
        </w:rPr>
        <w:t>затрачено 36 000</w:t>
      </w:r>
      <w:r w:rsidRPr="00EF3A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F3A97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</w:p>
    <w:p w:rsidR="00693AE6" w:rsidRPr="00EF3A97" w:rsidRDefault="00693AE6" w:rsidP="00693AE6">
      <w:pPr>
        <w:tabs>
          <w:tab w:val="left" w:pos="0"/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На весенне-летний период по договору гражданско-правового характера  было принято два человека, которые выполняли работы по </w:t>
      </w:r>
      <w:proofErr w:type="spellStart"/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>окашиванию</w:t>
      </w:r>
      <w:proofErr w:type="spellEnd"/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травы и вырубке кустарников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>уборке мусора. Работы выполнены 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общую 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3A97">
        <w:rPr>
          <w:rFonts w:ascii="Times New Roman" w:eastAsia="Times New Roman" w:hAnsi="Times New Roman"/>
          <w:sz w:val="24"/>
          <w:szCs w:val="24"/>
          <w:lang w:eastAsia="ru-RU"/>
        </w:rPr>
        <w:t xml:space="preserve">159 151,25 руб. (41 637,96 руб. - на   </w:t>
      </w:r>
      <w:proofErr w:type="spellStart"/>
      <w:r w:rsidRPr="00EF3A97">
        <w:rPr>
          <w:rFonts w:ascii="Times New Roman" w:eastAsia="Times New Roman" w:hAnsi="Times New Roman"/>
          <w:sz w:val="24"/>
          <w:szCs w:val="24"/>
          <w:lang w:eastAsia="ru-RU"/>
        </w:rPr>
        <w:t>окашивание</w:t>
      </w:r>
      <w:proofErr w:type="spellEnd"/>
      <w:r w:rsidRPr="00EF3A97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травы и вырубку кустарников,  на уборку мусора-117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3A97">
        <w:rPr>
          <w:rFonts w:ascii="Times New Roman" w:eastAsia="Times New Roman" w:hAnsi="Times New Roman"/>
          <w:sz w:val="24"/>
          <w:szCs w:val="24"/>
          <w:lang w:eastAsia="ru-RU"/>
        </w:rPr>
        <w:t>513,29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F3A9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93AE6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A9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2021 году на площади 8,6 га произведена химическая обработка борщевика, на которую затрачено  146 813,77 руб. Данные работы были произведены за счет   межбюджетных трансфертов. </w:t>
      </w:r>
    </w:p>
    <w:p w:rsidR="00693AE6" w:rsidRPr="00EF3A97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Администрацией  сельского поселения  заключен  договор с ООО «Экологическое предприятие («Меркурий</w:t>
      </w:r>
      <w:r w:rsidR="00187219">
        <w:rPr>
          <w:rFonts w:ascii="Times New Roman" w:eastAsia="Times New Roman" w:hAnsi="Times New Roman"/>
          <w:sz w:val="24"/>
          <w:szCs w:val="24"/>
          <w:lang w:eastAsia="ru-RU"/>
        </w:rPr>
        <w:t>»)» на вывоз и утилизацию ртуть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содержащих ламп. Стоимость услуг составила 30 тыс. руб.</w:t>
      </w:r>
    </w:p>
    <w:p w:rsidR="00693AE6" w:rsidRPr="00910BA1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говорить о  придомовых территориях, то благодаря неравнодушным жителям и старостам многоквартирных домов, придомовые территории находятся в надлежащем состоянии.  </w:t>
      </w: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ЖИЛИЩНО-КОММУНАЛЬНОЕ ХОЗЯЙСТВО</w:t>
      </w: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93AE6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 2015 года полномочия по тепл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газо-, водоснабжению и водоотведению являются полномочиями муниципального района. Содержание и  обслуживание муниципального жилищного фонда  - также полномочие муниципального района.</w:t>
      </w:r>
    </w:p>
    <w:p w:rsidR="00693AE6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На территории поселения 38 многоквартирных домов.  Управляющая компания – ООО  «ЖЭУ»,   которая   занимается   вопросами   содержания   МКД в п. Прогресс  в технически ис</w:t>
      </w:r>
      <w:r w:rsidR="00187219">
        <w:rPr>
          <w:rFonts w:ascii="Times New Roman" w:eastAsia="Times New Roman" w:hAnsi="Times New Roman"/>
          <w:sz w:val="24"/>
          <w:szCs w:val="24"/>
          <w:lang w:eastAsia="ru-RU"/>
        </w:rPr>
        <w:t>правном состоянии. 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решена проблема с обслуживанием МКД по ул. Строителей д.№8, д.№12, д.№14.</w:t>
      </w:r>
    </w:p>
    <w:p w:rsidR="00693AE6" w:rsidRDefault="00AD739A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Продолжалась</w:t>
      </w:r>
      <w:r w:rsidR="00693AE6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газификация  д. </w:t>
      </w:r>
      <w:proofErr w:type="spellStart"/>
      <w:r w:rsidR="00693AE6">
        <w:rPr>
          <w:rFonts w:ascii="Times New Roman" w:eastAsia="Times New Roman" w:hAnsi="Times New Roman"/>
          <w:sz w:val="24"/>
          <w:szCs w:val="24"/>
          <w:lang w:eastAsia="ru-RU"/>
        </w:rPr>
        <w:t>Тини</w:t>
      </w:r>
      <w:proofErr w:type="spellEnd"/>
      <w:r w:rsidR="00693AE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УЛИЧНОЕ ОСВЕЩЕНИЕ</w:t>
      </w: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AE6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41B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исполнения полномочий по организации уличного освещения в населенных пунктах выполнена модернизация приборов уличного освещения в количестве 63 единиц. </w:t>
      </w:r>
    </w:p>
    <w:p w:rsidR="00693AE6" w:rsidRPr="0007566C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 уличное освещение потрачено 839 950,14  </w:t>
      </w:r>
      <w:r w:rsidRPr="0007566C">
        <w:rPr>
          <w:rFonts w:ascii="Times New Roman" w:eastAsia="Times New Roman" w:hAnsi="Times New Roman"/>
          <w:sz w:val="24"/>
          <w:szCs w:val="24"/>
          <w:lang w:eastAsia="ru-RU"/>
        </w:rPr>
        <w:t>руб., что на 677 440,63 руб. меньше по сравнению с 2020 годом. Закуплены материалы на сумму 162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566C">
        <w:rPr>
          <w:rFonts w:ascii="Times New Roman" w:eastAsia="Times New Roman" w:hAnsi="Times New Roman"/>
          <w:sz w:val="24"/>
          <w:szCs w:val="24"/>
          <w:lang w:eastAsia="ru-RU"/>
        </w:rPr>
        <w:t xml:space="preserve">225,06 руб.  </w:t>
      </w:r>
      <w:r w:rsidRPr="0007566C">
        <w:rPr>
          <w:rFonts w:ascii="Times New Roman" w:eastAsia="Times New Roman" w:hAnsi="Times New Roman"/>
          <w:sz w:val="24"/>
          <w:szCs w:val="24"/>
          <w:lang w:eastAsia="ru-RU"/>
        </w:rPr>
        <w:tab/>
        <w:t>На обслуживание источников уличного освещения затраты составили   241 020 руб.</w:t>
      </w:r>
    </w:p>
    <w:p w:rsidR="00693AE6" w:rsidRPr="00A33636" w:rsidRDefault="00693AE6" w:rsidP="00693AE6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СОЗДАНИЕ УСЛОВИЙ ДЛЯ ОРГАНИЗАЦИИ ДОСУГА, ОБЕСПЕЧЕНИЕ ЖИТЕЛЕЙ УСЛУГАМИ ОРГАНИЗАЦИЙ КУЛЬТУРЫ, СПОРТА, УЧАСТИЯ В СОХРАНЕНИИ, ВОЗРОЖДЕНИИ И РАЗВИТИИ НАРОДНЫХ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ХУДОЖЕСТВЕННЫХ ПРОМЫСЛОВ</w:t>
      </w:r>
    </w:p>
    <w:p w:rsidR="00693AE6" w:rsidRPr="006551F2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693AE6" w:rsidRPr="006551F2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1F2">
        <w:rPr>
          <w:rFonts w:ascii="Times New Roman" w:eastAsia="Times New Roman" w:hAnsi="Times New Roman"/>
          <w:sz w:val="24"/>
          <w:szCs w:val="24"/>
          <w:lang w:eastAsia="ru-RU"/>
        </w:rPr>
        <w:t>На территории сельского поселения имеются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культуры</w:t>
      </w:r>
      <w:r w:rsidRPr="006551F2">
        <w:rPr>
          <w:rFonts w:ascii="Times New Roman" w:eastAsia="Times New Roman" w:hAnsi="Times New Roman"/>
          <w:sz w:val="24"/>
          <w:szCs w:val="24"/>
          <w:lang w:eastAsia="ru-RU"/>
        </w:rPr>
        <w:t>,  библиотека.</w:t>
      </w:r>
    </w:p>
    <w:p w:rsidR="00693AE6" w:rsidRPr="006551F2" w:rsidRDefault="00693AE6" w:rsidP="00693A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Администрацией</w:t>
      </w:r>
      <w:r w:rsidRPr="006551F2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 совм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естно с Домом культуры   проведены  </w:t>
      </w:r>
      <w:r w:rsidRPr="006551F2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посвященные праздничным датам, в том числе  День пожилых людей, </w:t>
      </w:r>
      <w:r w:rsidRPr="006551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5E2D">
        <w:rPr>
          <w:rFonts w:ascii="Times New Roman" w:eastAsia="Times New Roman" w:hAnsi="Times New Roman"/>
          <w:sz w:val="24"/>
          <w:szCs w:val="24"/>
          <w:lang w:eastAsia="ru-RU"/>
        </w:rPr>
        <w:t>праздно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вание Нового года. Также проведено мероприятие, посвященное Дню посёлка Прогресс. В связи с неблагоприятной  эпидемиологической обстановкой  не все мероприятия проводились  в обычном формате (проведение концерта).</w:t>
      </w:r>
    </w:p>
    <w:p w:rsidR="00693AE6" w:rsidRPr="00A33636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2021 году на проведение культурных мероприятий  а</w:t>
      </w:r>
      <w:r w:rsidRPr="006551F2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6551F2">
        <w:rPr>
          <w:rFonts w:ascii="Times New Roman" w:eastAsia="Times New Roman" w:hAnsi="Times New Roman"/>
          <w:sz w:val="24"/>
          <w:szCs w:val="24"/>
          <w:lang w:eastAsia="ru-RU"/>
        </w:rPr>
        <w:t>поселения Дому культуры выдел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ены денежные средства в сумме </w:t>
      </w:r>
      <w:r w:rsidRPr="0007566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0756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7566C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 </w:t>
      </w:r>
    </w:p>
    <w:p w:rsidR="00693AE6" w:rsidRPr="00A33636" w:rsidRDefault="00693AE6" w:rsidP="00693AE6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b/>
          <w:color w:val="C00000"/>
          <w:lang w:eastAsia="ru-RU"/>
        </w:rPr>
      </w:pPr>
      <w:r w:rsidRPr="00A33636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ab/>
      </w: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ОБЕСПЕЧЕНИЕ ПОЖАРНОЙ БЕЗОПАСНОСТИ</w:t>
      </w: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работы на территории сельского поселения осуществлялись  в соответствии с разработанным Планом мероприятий по пожарной безопасности.</w:t>
      </w:r>
    </w:p>
    <w:p w:rsidR="00693AE6" w:rsidRPr="00DD26BE" w:rsidRDefault="00693AE6" w:rsidP="00693AE6">
      <w:pPr>
        <w:tabs>
          <w:tab w:val="left" w:pos="1680"/>
          <w:tab w:val="left" w:pos="22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Осуществлялся инструктаж по мерам пожарной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езопасности населения  </w:t>
      </w:r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под роспись и </w:t>
      </w:r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 xml:space="preserve"> 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ыдачей памяток. О</w:t>
      </w:r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>публикованы материалы на противопожарную тематику на официальном 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йте администрации и в бюллетене «Официальный вестник</w:t>
      </w:r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>Прогресского</w:t>
      </w:r>
      <w:proofErr w:type="spellEnd"/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поселения».</w:t>
      </w: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Произведена очистка двух пожарных водоемов в  д.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Алешино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12 тыс. руб. </w:t>
      </w:r>
    </w:p>
    <w:p w:rsidR="00693AE6" w:rsidRPr="00DD26BE" w:rsidRDefault="00693AE6" w:rsidP="00693AE6">
      <w:pPr>
        <w:tabs>
          <w:tab w:val="left" w:pos="1680"/>
          <w:tab w:val="left" w:pos="22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зимний период производилась расчистка подъездных путей к пожарным водоемам в населенных пунктах по мере необходимости, в летний перио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 производилось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окашивание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 xml:space="preserve">вырубка кустарника. </w:t>
      </w:r>
    </w:p>
    <w:p w:rsidR="00693AE6" w:rsidRPr="00DD26BE" w:rsidRDefault="00693AE6" w:rsidP="00693AE6">
      <w:pPr>
        <w:tabs>
          <w:tab w:val="left" w:pos="1680"/>
          <w:tab w:val="left" w:pos="22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Осуществлялся контроль за </w:t>
      </w:r>
      <w:proofErr w:type="gramStart"/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>наличием</w:t>
      </w:r>
      <w:proofErr w:type="gramEnd"/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установленных в населенных пунктах звуковых сигналов, светоотражающих указателей «Ст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релка», «Пожарный водоем».</w:t>
      </w: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>Весной и осень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 2021 года проведены беседы с собственниками  жилых домов</w:t>
      </w:r>
      <w:r w:rsidRPr="00427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очистке придомовых и прилегающих территорий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сухой травы, бытового мусора.  </w:t>
      </w:r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3AE6" w:rsidRPr="00A3390F" w:rsidRDefault="00693AE6" w:rsidP="00693AE6">
      <w:pPr>
        <w:tabs>
          <w:tab w:val="left" w:pos="1680"/>
          <w:tab w:val="left" w:pos="22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 xml:space="preserve"> в жилом секторе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произошло 2 пожара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4303C0">
        <w:rPr>
          <w:rFonts w:ascii="Times New Roman" w:eastAsia="Times New Roman" w:hAnsi="Times New Roman"/>
          <w:sz w:val="24"/>
          <w:szCs w:val="24"/>
          <w:lang w:eastAsia="ru-RU"/>
        </w:rPr>
        <w:t xml:space="preserve">что </w:t>
      </w:r>
      <w:r w:rsidR="00234AC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303C0">
        <w:rPr>
          <w:rFonts w:ascii="Times New Roman" w:eastAsia="Times New Roman" w:hAnsi="Times New Roman"/>
          <w:sz w:val="24"/>
          <w:szCs w:val="24"/>
          <w:lang w:eastAsia="ru-RU"/>
        </w:rPr>
        <w:t>на 1 пожар</w:t>
      </w:r>
      <w:r w:rsidR="00234AC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303C0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меньше, чем в 2020 году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A3390F">
        <w:rPr>
          <w:rFonts w:ascii="Times New Roman" w:eastAsia="Times New Roman" w:hAnsi="Times New Roman"/>
          <w:sz w:val="24"/>
          <w:szCs w:val="24"/>
          <w:lang w:eastAsia="ru-RU"/>
        </w:rPr>
        <w:t>Сгорел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33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жилые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 в д. Приозерье и п. Прогресс. </w:t>
      </w:r>
    </w:p>
    <w:p w:rsidR="00693AE6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Весной 2021</w:t>
      </w:r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работн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иками Администрации </w:t>
      </w:r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осуществлялись выезды по факту горени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сухой травы на земельных участках по ул. Зелёной в п. Прогресс и у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Каменник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3AE6" w:rsidRPr="00543DC9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Пал сухой растительности  наблюдается  каждую весну. К сожалению, не все граждане осознают последствия пала. </w:t>
      </w: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СОЗДАНИЕ       УСЛОВИЙ    ДЛЯ ОБЩЕСТВЕННОГО ПОРЯДКА</w:t>
      </w: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</w:p>
    <w:p w:rsidR="00693AE6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Администрации сельского поселения по обеспечению общественного порядка осуществлялась  посредством  взаимодействия с правоохранительными органами. </w:t>
      </w: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Совместно со  специалистом «БКЦСО» проведено 2  рейда в  семьи, относящиеся к «категории риска». Проведены  беседы с родителями об ответственности за воспитание детей, необходимости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ними. </w:t>
      </w: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НАСЕЛЕНИЕМ</w:t>
      </w: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AE6" w:rsidRDefault="00693AE6" w:rsidP="00693A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Численность населения  сельского поселения   на 1 января 2021 по данным органов  статистики составила  2388 человек. </w:t>
      </w:r>
    </w:p>
    <w:p w:rsidR="00693AE6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Постоянно поддерживалась связь со старостами  населенных пунктов.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93AE6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сельском поселении   работал Совет ветеранов, председателем  которого является Демьянова Валентина Васильевна.  </w:t>
      </w:r>
    </w:p>
    <w:p w:rsidR="00693AE6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сожалению, жители проявляют низкую активность в создании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ТОСов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участии в ППМИ (проекты поддержки местных инициатив), которые способствовали бы решению  проблем  благоустройства придомовых территорий, а также и  других вопросов местного значения. </w:t>
      </w: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ВОИНСКИЙ УЧЕТ</w:t>
      </w:r>
    </w:p>
    <w:p w:rsidR="00693AE6" w:rsidRDefault="00693AE6" w:rsidP="00693AE6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AE6" w:rsidRPr="00744207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44207">
        <w:rPr>
          <w:rFonts w:ascii="Times New Roman" w:hAnsi="Times New Roman"/>
          <w:sz w:val="24"/>
          <w:szCs w:val="24"/>
        </w:rPr>
        <w:t xml:space="preserve">Администрация сельского поселения проводит работу по воинскому учету граждан, пребывающих в запасе и с молодежью призывного возраста. Работа проводилась согласно плану, утвержденному главой сельского поселения и согласованному военным комиссаром </w:t>
      </w:r>
      <w:proofErr w:type="spellStart"/>
      <w:r w:rsidRPr="00744207">
        <w:rPr>
          <w:rFonts w:ascii="Times New Roman" w:hAnsi="Times New Roman"/>
          <w:sz w:val="24"/>
          <w:szCs w:val="24"/>
        </w:rPr>
        <w:t>Боровичского</w:t>
      </w:r>
      <w:proofErr w:type="spellEnd"/>
      <w:r w:rsidRPr="00744207">
        <w:rPr>
          <w:rFonts w:ascii="Times New Roman" w:hAnsi="Times New Roman"/>
          <w:sz w:val="24"/>
          <w:szCs w:val="24"/>
        </w:rPr>
        <w:t xml:space="preserve"> и  Мошенского муниципальных районов, </w:t>
      </w:r>
      <w:proofErr w:type="spellStart"/>
      <w:r w:rsidRPr="00744207">
        <w:rPr>
          <w:rFonts w:ascii="Times New Roman" w:hAnsi="Times New Roman"/>
          <w:sz w:val="24"/>
          <w:szCs w:val="24"/>
        </w:rPr>
        <w:t>Хвойнинского</w:t>
      </w:r>
      <w:proofErr w:type="spellEnd"/>
      <w:r w:rsidRPr="00744207">
        <w:rPr>
          <w:rFonts w:ascii="Times New Roman" w:hAnsi="Times New Roman"/>
          <w:sz w:val="24"/>
          <w:szCs w:val="24"/>
        </w:rPr>
        <w:t xml:space="preserve"> муниципального округа  Новгородской области.</w:t>
      </w:r>
    </w:p>
    <w:p w:rsidR="00693AE6" w:rsidRPr="00B778EB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778EB">
        <w:rPr>
          <w:rFonts w:ascii="Times New Roman" w:hAnsi="Times New Roman"/>
          <w:sz w:val="24"/>
          <w:szCs w:val="24"/>
        </w:rPr>
        <w:t xml:space="preserve">Всего на первичном воинском учете </w:t>
      </w:r>
      <w:r>
        <w:rPr>
          <w:rFonts w:ascii="Times New Roman" w:hAnsi="Times New Roman"/>
          <w:sz w:val="24"/>
          <w:szCs w:val="24"/>
        </w:rPr>
        <w:t xml:space="preserve">в 2021 году </w:t>
      </w:r>
      <w:r w:rsidRPr="00B778EB">
        <w:rPr>
          <w:rFonts w:ascii="Times New Roman" w:hAnsi="Times New Roman"/>
          <w:sz w:val="24"/>
          <w:szCs w:val="24"/>
        </w:rPr>
        <w:t>сост</w:t>
      </w:r>
      <w:r>
        <w:rPr>
          <w:rFonts w:ascii="Times New Roman" w:hAnsi="Times New Roman"/>
          <w:sz w:val="24"/>
          <w:szCs w:val="24"/>
        </w:rPr>
        <w:t>ояли</w:t>
      </w:r>
      <w:r w:rsidRPr="00B778EB">
        <w:rPr>
          <w:rFonts w:ascii="Times New Roman" w:hAnsi="Times New Roman"/>
          <w:sz w:val="24"/>
          <w:szCs w:val="24"/>
        </w:rPr>
        <w:t>:</w:t>
      </w:r>
    </w:p>
    <w:p w:rsidR="00693AE6" w:rsidRPr="00B778EB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778EB">
        <w:rPr>
          <w:rFonts w:ascii="Times New Roman" w:hAnsi="Times New Roman"/>
          <w:sz w:val="24"/>
          <w:szCs w:val="24"/>
        </w:rPr>
        <w:t>- граждан</w:t>
      </w:r>
      <w:r>
        <w:rPr>
          <w:rFonts w:ascii="Times New Roman" w:hAnsi="Times New Roman"/>
          <w:sz w:val="24"/>
          <w:szCs w:val="24"/>
        </w:rPr>
        <w:t>е, подлежащие</w:t>
      </w:r>
      <w:r w:rsidRPr="00B778EB">
        <w:rPr>
          <w:rFonts w:ascii="Times New Roman" w:hAnsi="Times New Roman"/>
          <w:sz w:val="24"/>
          <w:szCs w:val="24"/>
        </w:rPr>
        <w:t xml:space="preserve"> призыву на военную службу</w:t>
      </w:r>
      <w:r>
        <w:rPr>
          <w:rFonts w:ascii="Times New Roman" w:hAnsi="Times New Roman"/>
          <w:sz w:val="24"/>
          <w:szCs w:val="24"/>
        </w:rPr>
        <w:t>,-  20</w:t>
      </w:r>
      <w:r w:rsidRPr="00B778EB">
        <w:rPr>
          <w:rFonts w:ascii="Times New Roman" w:hAnsi="Times New Roman"/>
          <w:sz w:val="24"/>
          <w:szCs w:val="24"/>
        </w:rPr>
        <w:t xml:space="preserve"> человек,</w:t>
      </w:r>
    </w:p>
    <w:p w:rsidR="00693AE6" w:rsidRPr="00B778EB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778EB">
        <w:rPr>
          <w:rFonts w:ascii="Times New Roman" w:hAnsi="Times New Roman"/>
          <w:sz w:val="24"/>
          <w:szCs w:val="24"/>
        </w:rPr>
        <w:t>- 1</w:t>
      </w:r>
      <w:r>
        <w:rPr>
          <w:rFonts w:ascii="Times New Roman" w:hAnsi="Times New Roman"/>
          <w:sz w:val="24"/>
          <w:szCs w:val="24"/>
        </w:rPr>
        <w:t>2</w:t>
      </w:r>
      <w:r w:rsidRPr="00B778EB">
        <w:rPr>
          <w:rFonts w:ascii="Times New Roman" w:hAnsi="Times New Roman"/>
          <w:sz w:val="24"/>
          <w:szCs w:val="24"/>
        </w:rPr>
        <w:t xml:space="preserve"> офицеров запаса,</w:t>
      </w:r>
    </w:p>
    <w:p w:rsidR="00693AE6" w:rsidRPr="00B778EB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- 52</w:t>
      </w:r>
      <w:r w:rsidRPr="00B778EB">
        <w:rPr>
          <w:rFonts w:ascii="Times New Roman" w:hAnsi="Times New Roman"/>
          <w:sz w:val="24"/>
          <w:szCs w:val="24"/>
        </w:rPr>
        <w:t>9 прапорщиков, мичманов, сержантов, старшин, солдат и      матросов  запаса.</w:t>
      </w:r>
    </w:p>
    <w:p w:rsidR="00693AE6" w:rsidRPr="00B778EB" w:rsidRDefault="00693AE6" w:rsidP="00693AE6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8EB">
        <w:rPr>
          <w:rFonts w:ascii="Times New Roman" w:hAnsi="Times New Roman"/>
          <w:sz w:val="24"/>
          <w:szCs w:val="24"/>
        </w:rPr>
        <w:t xml:space="preserve">       Ежеме</w:t>
      </w:r>
      <w:r>
        <w:rPr>
          <w:rFonts w:ascii="Times New Roman" w:hAnsi="Times New Roman"/>
          <w:sz w:val="24"/>
          <w:szCs w:val="24"/>
        </w:rPr>
        <w:t xml:space="preserve">сячно представлялись </w:t>
      </w:r>
      <w:r w:rsidRPr="00B778EB">
        <w:rPr>
          <w:rFonts w:ascii="Times New Roman" w:hAnsi="Times New Roman"/>
          <w:sz w:val="24"/>
          <w:szCs w:val="24"/>
        </w:rPr>
        <w:t xml:space="preserve">  в во</w:t>
      </w:r>
      <w:r>
        <w:rPr>
          <w:rFonts w:ascii="Times New Roman" w:hAnsi="Times New Roman"/>
          <w:sz w:val="24"/>
          <w:szCs w:val="24"/>
        </w:rPr>
        <w:t xml:space="preserve">енный  комиссариат  </w:t>
      </w:r>
      <w:proofErr w:type="spellStart"/>
      <w:r>
        <w:rPr>
          <w:rFonts w:ascii="Times New Roman" w:hAnsi="Times New Roman"/>
          <w:sz w:val="24"/>
          <w:szCs w:val="24"/>
        </w:rPr>
        <w:t>Боровичского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Мошенского муниципальных районов, </w:t>
      </w:r>
      <w:proofErr w:type="spellStart"/>
      <w:r>
        <w:rPr>
          <w:rFonts w:ascii="Times New Roman" w:hAnsi="Times New Roman"/>
          <w:sz w:val="24"/>
          <w:szCs w:val="24"/>
        </w:rPr>
        <w:t>Хвойнинского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 округа </w:t>
      </w:r>
      <w:r w:rsidRPr="00B778EB">
        <w:rPr>
          <w:rFonts w:ascii="Times New Roman" w:hAnsi="Times New Roman"/>
          <w:sz w:val="24"/>
          <w:szCs w:val="24"/>
        </w:rPr>
        <w:t xml:space="preserve"> Новгородской  области сведения  о количественном  составе граждан,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8EB">
        <w:rPr>
          <w:rFonts w:ascii="Times New Roman" w:hAnsi="Times New Roman"/>
          <w:sz w:val="24"/>
          <w:szCs w:val="24"/>
        </w:rPr>
        <w:t>состоящих  на  воинском учете</w:t>
      </w:r>
      <w:r>
        <w:rPr>
          <w:rFonts w:ascii="Times New Roman" w:hAnsi="Times New Roman"/>
          <w:sz w:val="24"/>
          <w:szCs w:val="24"/>
        </w:rPr>
        <w:t xml:space="preserve">  и    именные  списки граждан</w:t>
      </w:r>
      <w:r w:rsidRPr="00B778EB">
        <w:rPr>
          <w:rFonts w:ascii="Times New Roman" w:hAnsi="Times New Roman"/>
          <w:sz w:val="24"/>
          <w:szCs w:val="24"/>
        </w:rPr>
        <w:t>, у которых  произош</w:t>
      </w:r>
      <w:r>
        <w:rPr>
          <w:rFonts w:ascii="Times New Roman" w:hAnsi="Times New Roman"/>
          <w:sz w:val="24"/>
          <w:szCs w:val="24"/>
        </w:rPr>
        <w:t>ли изменения  в учетных  данных, снятых  с воинского учета  и принятых</w:t>
      </w:r>
      <w:r w:rsidRPr="00B778EB">
        <w:rPr>
          <w:rFonts w:ascii="Times New Roman" w:hAnsi="Times New Roman"/>
          <w:sz w:val="24"/>
          <w:szCs w:val="24"/>
        </w:rPr>
        <w:t xml:space="preserve">  на воинский  учет.  Движение  учитываемых  граждан в </w:t>
      </w:r>
      <w:r w:rsidRPr="00B778EB">
        <w:rPr>
          <w:rFonts w:ascii="Times New Roman" w:hAnsi="Times New Roman"/>
          <w:sz w:val="24"/>
          <w:szCs w:val="24"/>
        </w:rPr>
        <w:lastRenderedPageBreak/>
        <w:t>202</w:t>
      </w:r>
      <w:r>
        <w:rPr>
          <w:rFonts w:ascii="Times New Roman" w:hAnsi="Times New Roman"/>
          <w:sz w:val="24"/>
          <w:szCs w:val="24"/>
        </w:rPr>
        <w:t>1 году составило 44 человека, или на 12 человек меньше, чем в 2020 году. Из них убыло 28 человек</w:t>
      </w:r>
      <w:r w:rsidRPr="00B778EB">
        <w:rPr>
          <w:rFonts w:ascii="Times New Roman" w:hAnsi="Times New Roman"/>
          <w:sz w:val="24"/>
          <w:szCs w:val="24"/>
        </w:rPr>
        <w:t>, в том числе  с достижением предельного возр</w:t>
      </w:r>
      <w:r>
        <w:rPr>
          <w:rFonts w:ascii="Times New Roman" w:hAnsi="Times New Roman"/>
          <w:sz w:val="24"/>
          <w:szCs w:val="24"/>
        </w:rPr>
        <w:t>аста пребывания в запасе</w:t>
      </w:r>
      <w:r w:rsidR="00811256">
        <w:rPr>
          <w:rFonts w:ascii="Times New Roman" w:hAnsi="Times New Roman"/>
          <w:sz w:val="24"/>
          <w:szCs w:val="24"/>
        </w:rPr>
        <w:t>,</w:t>
      </w:r>
      <w:r w:rsidRPr="00B778EB">
        <w:rPr>
          <w:rFonts w:ascii="Times New Roman" w:hAnsi="Times New Roman"/>
          <w:sz w:val="24"/>
          <w:szCs w:val="24"/>
        </w:rPr>
        <w:t xml:space="preserve"> сняты с воинс</w:t>
      </w:r>
      <w:r>
        <w:rPr>
          <w:rFonts w:ascii="Times New Roman" w:hAnsi="Times New Roman"/>
          <w:sz w:val="24"/>
          <w:szCs w:val="24"/>
        </w:rPr>
        <w:t>кого учета 18 человек  (</w:t>
      </w:r>
      <w:r w:rsidRPr="00B778EB">
        <w:rPr>
          <w:rFonts w:ascii="Times New Roman" w:hAnsi="Times New Roman"/>
          <w:sz w:val="24"/>
          <w:szCs w:val="24"/>
        </w:rPr>
        <w:t>это мужчины  197</w:t>
      </w:r>
      <w:r>
        <w:rPr>
          <w:rFonts w:ascii="Times New Roman" w:hAnsi="Times New Roman"/>
          <w:sz w:val="24"/>
          <w:szCs w:val="24"/>
        </w:rPr>
        <w:t>1</w:t>
      </w:r>
      <w:r w:rsidRPr="00B778EB">
        <w:rPr>
          <w:rFonts w:ascii="Times New Roman" w:hAnsi="Times New Roman"/>
          <w:sz w:val="24"/>
          <w:szCs w:val="24"/>
        </w:rPr>
        <w:t xml:space="preserve"> и женщины 197</w:t>
      </w:r>
      <w:r>
        <w:rPr>
          <w:rFonts w:ascii="Times New Roman" w:hAnsi="Times New Roman"/>
          <w:sz w:val="24"/>
          <w:szCs w:val="24"/>
        </w:rPr>
        <w:t>6</w:t>
      </w:r>
      <w:r w:rsidRPr="00B778EB">
        <w:rPr>
          <w:rFonts w:ascii="Times New Roman" w:hAnsi="Times New Roman"/>
          <w:sz w:val="24"/>
          <w:szCs w:val="24"/>
        </w:rPr>
        <w:t xml:space="preserve"> года рождения)</w:t>
      </w:r>
      <w:r>
        <w:rPr>
          <w:rFonts w:ascii="Times New Roman" w:hAnsi="Times New Roman"/>
          <w:sz w:val="24"/>
          <w:szCs w:val="24"/>
        </w:rPr>
        <w:t>, прибыло  16 человек</w:t>
      </w:r>
      <w:r w:rsidRPr="00B778EB">
        <w:rPr>
          <w:rFonts w:ascii="Times New Roman" w:hAnsi="Times New Roman"/>
          <w:sz w:val="24"/>
          <w:szCs w:val="24"/>
        </w:rPr>
        <w:t xml:space="preserve">, в том числе </w:t>
      </w:r>
      <w:r>
        <w:rPr>
          <w:rFonts w:ascii="Times New Roman" w:hAnsi="Times New Roman"/>
          <w:sz w:val="24"/>
          <w:szCs w:val="24"/>
        </w:rPr>
        <w:t>5 человек</w:t>
      </w:r>
      <w:r w:rsidR="00187219">
        <w:rPr>
          <w:rFonts w:ascii="Times New Roman" w:hAnsi="Times New Roman"/>
          <w:sz w:val="24"/>
          <w:szCs w:val="24"/>
        </w:rPr>
        <w:t xml:space="preserve">, уволенных </w:t>
      </w:r>
      <w:r w:rsidRPr="00B778EB">
        <w:rPr>
          <w:rFonts w:ascii="Times New Roman" w:hAnsi="Times New Roman"/>
          <w:sz w:val="24"/>
          <w:szCs w:val="24"/>
        </w:rPr>
        <w:t xml:space="preserve"> из Вооруженных Сил Российской Федерации.</w:t>
      </w:r>
    </w:p>
    <w:p w:rsidR="00693AE6" w:rsidRPr="00B778EB" w:rsidRDefault="00693AE6" w:rsidP="00693AE6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8E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Представлялись</w:t>
      </w:r>
      <w:r w:rsidRPr="00B778EB">
        <w:rPr>
          <w:rFonts w:ascii="Times New Roman" w:hAnsi="Times New Roman"/>
          <w:sz w:val="24"/>
          <w:szCs w:val="24"/>
        </w:rPr>
        <w:t xml:space="preserve">  в во</w:t>
      </w:r>
      <w:r>
        <w:rPr>
          <w:rFonts w:ascii="Times New Roman" w:hAnsi="Times New Roman"/>
          <w:sz w:val="24"/>
          <w:szCs w:val="24"/>
        </w:rPr>
        <w:t xml:space="preserve">енный  комиссариат  </w:t>
      </w:r>
      <w:proofErr w:type="spellStart"/>
      <w:r>
        <w:rPr>
          <w:rFonts w:ascii="Times New Roman" w:hAnsi="Times New Roman"/>
          <w:sz w:val="24"/>
          <w:szCs w:val="24"/>
        </w:rPr>
        <w:t>Боровичского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Pr="00B778EB">
        <w:rPr>
          <w:rFonts w:ascii="Times New Roman" w:hAnsi="Times New Roman"/>
          <w:sz w:val="24"/>
          <w:szCs w:val="24"/>
        </w:rPr>
        <w:t xml:space="preserve"> Мошенского </w:t>
      </w:r>
      <w:r>
        <w:rPr>
          <w:rFonts w:ascii="Times New Roman" w:hAnsi="Times New Roman"/>
          <w:sz w:val="24"/>
          <w:szCs w:val="24"/>
        </w:rPr>
        <w:t xml:space="preserve">муниципальных районов, </w:t>
      </w:r>
      <w:r w:rsidRPr="00B77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8EB">
        <w:rPr>
          <w:rFonts w:ascii="Times New Roman" w:hAnsi="Times New Roman"/>
          <w:sz w:val="24"/>
          <w:szCs w:val="24"/>
        </w:rPr>
        <w:t>Хвойнинского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муниципального округа </w:t>
      </w:r>
      <w:r w:rsidRPr="00B778EB">
        <w:rPr>
          <w:rFonts w:ascii="Times New Roman" w:hAnsi="Times New Roman"/>
          <w:sz w:val="24"/>
          <w:szCs w:val="24"/>
        </w:rPr>
        <w:t xml:space="preserve"> Новгородской  области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8EB">
        <w:rPr>
          <w:rFonts w:ascii="Times New Roman" w:hAnsi="Times New Roman"/>
          <w:sz w:val="24"/>
          <w:szCs w:val="24"/>
        </w:rPr>
        <w:t xml:space="preserve">до 1 октября  списки  юношей   15-ти и 16-ти летнего возраста, а </w:t>
      </w:r>
      <w:r>
        <w:rPr>
          <w:rFonts w:ascii="Times New Roman" w:hAnsi="Times New Roman"/>
          <w:sz w:val="24"/>
          <w:szCs w:val="24"/>
        </w:rPr>
        <w:t xml:space="preserve"> до 1</w:t>
      </w:r>
      <w:r w:rsidRPr="00B778EB">
        <w:rPr>
          <w:rFonts w:ascii="Times New Roman" w:hAnsi="Times New Roman"/>
          <w:sz w:val="24"/>
          <w:szCs w:val="24"/>
        </w:rPr>
        <w:t>–</w:t>
      </w:r>
      <w:proofErr w:type="spellStart"/>
      <w:r w:rsidRPr="00B778EB">
        <w:rPr>
          <w:rFonts w:ascii="Times New Roman" w:hAnsi="Times New Roman"/>
          <w:sz w:val="24"/>
          <w:szCs w:val="24"/>
        </w:rPr>
        <w:t>го</w:t>
      </w:r>
      <w:proofErr w:type="spellEnd"/>
      <w:r w:rsidRPr="00B778EB">
        <w:rPr>
          <w:rFonts w:ascii="Times New Roman" w:hAnsi="Times New Roman"/>
          <w:sz w:val="24"/>
          <w:szCs w:val="24"/>
        </w:rPr>
        <w:t xml:space="preserve"> ноября </w:t>
      </w:r>
      <w:r>
        <w:rPr>
          <w:rFonts w:ascii="Times New Roman" w:hAnsi="Times New Roman"/>
          <w:sz w:val="24"/>
          <w:szCs w:val="24"/>
        </w:rPr>
        <w:t xml:space="preserve"> списки юношей</w:t>
      </w:r>
      <w:r w:rsidRPr="00B778EB">
        <w:rPr>
          <w:rFonts w:ascii="Times New Roman" w:hAnsi="Times New Roman"/>
          <w:sz w:val="24"/>
          <w:szCs w:val="24"/>
        </w:rPr>
        <w:t>, подлежащих первоначальной постановке на воинский учет  в следующем году.</w:t>
      </w:r>
    </w:p>
    <w:p w:rsidR="00693AE6" w:rsidRPr="009233F4" w:rsidRDefault="00693AE6" w:rsidP="00693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2021</w:t>
      </w:r>
      <w:r w:rsidRPr="00B778EB">
        <w:rPr>
          <w:rFonts w:ascii="Times New Roman" w:hAnsi="Times New Roman"/>
          <w:sz w:val="24"/>
          <w:szCs w:val="24"/>
        </w:rPr>
        <w:t xml:space="preserve"> году первоначальной постановке</w:t>
      </w:r>
      <w:r>
        <w:rPr>
          <w:rFonts w:ascii="Times New Roman" w:hAnsi="Times New Roman"/>
          <w:sz w:val="24"/>
          <w:szCs w:val="24"/>
        </w:rPr>
        <w:t xml:space="preserve"> на воинский учет поставлено  11</w:t>
      </w:r>
      <w:r w:rsidRPr="00B778EB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, что на 1 человека меньше, чем в 2020 году.</w:t>
      </w:r>
      <w:r w:rsidRPr="00B778EB">
        <w:rPr>
          <w:rFonts w:ascii="Times New Roman" w:hAnsi="Times New Roman"/>
          <w:sz w:val="24"/>
          <w:szCs w:val="24"/>
        </w:rPr>
        <w:t xml:space="preserve">  В 202</w:t>
      </w:r>
      <w:r>
        <w:rPr>
          <w:rFonts w:ascii="Times New Roman" w:hAnsi="Times New Roman"/>
          <w:sz w:val="24"/>
          <w:szCs w:val="24"/>
        </w:rPr>
        <w:t xml:space="preserve">2 году в  военном  </w:t>
      </w:r>
      <w:r w:rsidRPr="00B778EB">
        <w:rPr>
          <w:rFonts w:ascii="Times New Roman" w:hAnsi="Times New Roman"/>
          <w:sz w:val="24"/>
          <w:szCs w:val="24"/>
        </w:rPr>
        <w:t xml:space="preserve">комиссариате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Боровичского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r w:rsidRPr="00B778EB">
        <w:rPr>
          <w:rFonts w:ascii="Times New Roman" w:hAnsi="Times New Roman"/>
          <w:sz w:val="24"/>
          <w:szCs w:val="24"/>
        </w:rPr>
        <w:t xml:space="preserve"> Мошенского</w:t>
      </w:r>
      <w:r w:rsidRPr="007442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муниципальных районов, </w:t>
      </w:r>
      <w:proofErr w:type="spellStart"/>
      <w:r>
        <w:rPr>
          <w:rFonts w:ascii="Times New Roman" w:hAnsi="Times New Roman"/>
          <w:sz w:val="24"/>
          <w:szCs w:val="24"/>
        </w:rPr>
        <w:t>Хвойнинского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 округа</w:t>
      </w:r>
      <w:r w:rsidRPr="00B778EB">
        <w:rPr>
          <w:rFonts w:ascii="Times New Roman" w:hAnsi="Times New Roman"/>
          <w:sz w:val="24"/>
          <w:szCs w:val="24"/>
        </w:rPr>
        <w:t xml:space="preserve"> Новгородской     области  на первоначальный воинский учет  будет поставлено</w:t>
      </w:r>
      <w:r>
        <w:rPr>
          <w:rFonts w:ascii="Times New Roman" w:hAnsi="Times New Roman"/>
          <w:sz w:val="24"/>
          <w:szCs w:val="24"/>
        </w:rPr>
        <w:t xml:space="preserve">  6</w:t>
      </w:r>
      <w:r w:rsidRPr="00B778EB">
        <w:rPr>
          <w:rFonts w:ascii="Times New Roman" w:hAnsi="Times New Roman"/>
          <w:sz w:val="24"/>
          <w:szCs w:val="24"/>
        </w:rPr>
        <w:t xml:space="preserve">  юношей.</w:t>
      </w:r>
    </w:p>
    <w:p w:rsidR="00811256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DFDFD"/>
        </w:rPr>
      </w:pPr>
      <w:r w:rsidRPr="009233F4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</w:t>
      </w:r>
    </w:p>
    <w:p w:rsidR="00693AE6" w:rsidRDefault="00811256" w:rsidP="00693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ab/>
      </w:r>
      <w:r w:rsidR="00693AE6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А</w:t>
      </w:r>
      <w:r w:rsidR="00693AE6" w:rsidRPr="009233F4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нализируя итоги прошедшего го</w:t>
      </w:r>
      <w:r w:rsidR="00693AE6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да, необходимо отметить</w:t>
      </w:r>
      <w:r w:rsidR="00693AE6" w:rsidRPr="009233F4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, что   мы пытаемся  решать многие вопросы вместе с вами, жителями сельского поселения</w:t>
      </w:r>
      <w:r w:rsidR="00693AE6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. </w:t>
      </w:r>
      <w:r w:rsidR="00693AE6" w:rsidRPr="009233F4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</w:t>
      </w:r>
    </w:p>
    <w:p w:rsidR="00693AE6" w:rsidRPr="009233F4" w:rsidRDefault="00693AE6" w:rsidP="00693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ab/>
        <w:t xml:space="preserve">Отдельное спасибо хочется выразить старостам населенных пунктов, которые помогали администрации сельского поселения в решении многих вопросов. </w:t>
      </w:r>
    </w:p>
    <w:p w:rsidR="00693AE6" w:rsidRPr="00B778EB" w:rsidRDefault="00693AE6" w:rsidP="00AD739A">
      <w:pPr>
        <w:pStyle w:val="a3"/>
        <w:tabs>
          <w:tab w:val="left" w:pos="168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AE6" w:rsidRDefault="00693AE6" w:rsidP="00693AE6">
      <w:pPr>
        <w:tabs>
          <w:tab w:val="left" w:pos="1680"/>
          <w:tab w:val="left" w:pos="2240"/>
          <w:tab w:val="left" w:pos="6510"/>
        </w:tabs>
      </w:pPr>
    </w:p>
    <w:p w:rsidR="00693AE6" w:rsidRDefault="00693AE6" w:rsidP="00693AE6">
      <w:pPr>
        <w:tabs>
          <w:tab w:val="left" w:pos="1680"/>
          <w:tab w:val="left" w:pos="2240"/>
          <w:tab w:val="left" w:pos="6510"/>
        </w:tabs>
      </w:pPr>
    </w:p>
    <w:p w:rsidR="00693AE6" w:rsidRDefault="00693AE6" w:rsidP="00693AE6">
      <w:pPr>
        <w:tabs>
          <w:tab w:val="left" w:pos="1680"/>
        </w:tabs>
      </w:pPr>
    </w:p>
    <w:p w:rsidR="00693AE6" w:rsidRDefault="00693AE6" w:rsidP="00693AE6">
      <w:pPr>
        <w:tabs>
          <w:tab w:val="left" w:pos="1680"/>
        </w:tabs>
      </w:pPr>
    </w:p>
    <w:p w:rsidR="000B7C03" w:rsidRDefault="000B7C03"/>
    <w:sectPr w:rsidR="000B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4E"/>
    <w:rsid w:val="000B7C03"/>
    <w:rsid w:val="00187219"/>
    <w:rsid w:val="00215358"/>
    <w:rsid w:val="00234AC2"/>
    <w:rsid w:val="00693AE6"/>
    <w:rsid w:val="00811256"/>
    <w:rsid w:val="00AD739A"/>
    <w:rsid w:val="00E2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A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D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A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D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7</cp:revision>
  <cp:lastPrinted>2022-02-28T11:28:00Z</cp:lastPrinted>
  <dcterms:created xsi:type="dcterms:W3CDTF">2022-02-25T08:41:00Z</dcterms:created>
  <dcterms:modified xsi:type="dcterms:W3CDTF">2022-03-02T08:15:00Z</dcterms:modified>
</cp:coreProperties>
</file>