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AA" w:rsidRPr="00DD21AA" w:rsidRDefault="00DD21AA" w:rsidP="00DD21AA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21AA" w:rsidRPr="00DD21AA" w:rsidRDefault="00DD21AA" w:rsidP="00DD21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DD21A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FE9D58" wp14:editId="60E710B5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1AA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DD21AA" w:rsidRPr="00DD21AA" w:rsidRDefault="00DD21AA" w:rsidP="00DD21AA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DD21AA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DD21AA" w:rsidRPr="00DD21AA" w:rsidRDefault="00DD21AA" w:rsidP="00DD21AA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DD21AA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DD21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19  сентября</w:t>
      </w:r>
      <w:r w:rsidRPr="00DD21AA">
        <w:rPr>
          <w:rFonts w:ascii="Times New Roman" w:eastAsia="Calibri" w:hAnsi="Times New Roman" w:cs="Times New Roman"/>
          <w:b/>
          <w:sz w:val="28"/>
          <w:szCs w:val="28"/>
        </w:rPr>
        <w:t xml:space="preserve">  2024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DD21AA" w:rsidRPr="00DD21AA" w:rsidTr="002B2850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18.09</w:t>
            </w: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2024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DD21AA" w:rsidRPr="00DD21AA" w:rsidRDefault="00DD21AA" w:rsidP="00DD21A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AA" w:rsidRPr="00DD21AA" w:rsidRDefault="00DD21AA" w:rsidP="00DD21AA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D21AA">
        <w:rPr>
          <w:rFonts w:ascii="Times New Roman" w:eastAsia="Times New Roman" w:hAnsi="Times New Roman" w:cs="Times New Roman"/>
          <w:b/>
          <w:color w:val="000000"/>
        </w:rPr>
        <w:t>ПОСТАНОВЛЕНИЕ АДМИНИСТРАЦИИ ПРОГРЕССКОГО СЕЛЬСКОГО ПОСЕЛЕНИЯ</w:t>
      </w:r>
    </w:p>
    <w:p w:rsidR="00DD21AA" w:rsidRPr="00DD21AA" w:rsidRDefault="00DD21AA" w:rsidP="00DD21AA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DD21AA">
        <w:rPr>
          <w:rFonts w:ascii="Times New Roman" w:eastAsia="Times New Roman" w:hAnsi="Times New Roman" w:cs="Times New Roman"/>
        </w:rPr>
        <w:tab/>
      </w:r>
      <w:r w:rsidRPr="00DD21AA">
        <w:rPr>
          <w:rFonts w:ascii="Times New Roman" w:eastAsia="Times New Roman" w:hAnsi="Times New Roman" w:cs="Times New Roman"/>
        </w:rPr>
        <w:tab/>
      </w:r>
      <w:r>
        <w:rPr>
          <w:rFonts w:ascii="Times New Roman CYR" w:eastAsia="Times New Roman" w:hAnsi="Times New Roman CYR" w:cs="Times New Roman"/>
          <w:b/>
          <w:lang w:eastAsia="ru-RU"/>
        </w:rPr>
        <w:t>11</w:t>
      </w:r>
      <w:r w:rsidRPr="00DD21AA">
        <w:rPr>
          <w:rFonts w:ascii="Times New Roman CYR" w:eastAsia="Times New Roman" w:hAnsi="Times New Roman CYR" w:cs="Times New Roman"/>
          <w:b/>
          <w:lang w:eastAsia="ru-RU"/>
        </w:rPr>
        <w:t>.0</w:t>
      </w:r>
      <w:r>
        <w:rPr>
          <w:rFonts w:ascii="Times New Roman CYR" w:eastAsia="Times New Roman" w:hAnsi="Times New Roman CYR" w:cs="Times New Roman"/>
          <w:b/>
          <w:lang w:eastAsia="ru-RU"/>
        </w:rPr>
        <w:t>9</w:t>
      </w:r>
      <w:r w:rsidRPr="00DD21AA">
        <w:rPr>
          <w:rFonts w:ascii="Times New Roman CYR" w:eastAsia="Times New Roman" w:hAnsi="Times New Roman CYR" w:cs="Times New Roman"/>
          <w:b/>
          <w:lang w:eastAsia="ru-RU"/>
        </w:rPr>
        <w:t xml:space="preserve">.2024 № </w:t>
      </w:r>
      <w:r>
        <w:rPr>
          <w:rFonts w:ascii="Times New Roman CYR" w:eastAsia="Times New Roman" w:hAnsi="Times New Roman CYR" w:cs="Times New Roman"/>
          <w:b/>
          <w:lang w:eastAsia="ru-RU"/>
        </w:rPr>
        <w:t>102</w:t>
      </w:r>
      <w:r w:rsidRPr="00DD21AA">
        <w:rPr>
          <w:rFonts w:ascii="Times New Roman CYR" w:eastAsia="Times New Roman" w:hAnsi="Times New Roman CYR" w:cs="Times New Roman"/>
          <w:lang w:eastAsia="ru-RU"/>
        </w:rPr>
        <w:t xml:space="preserve"> п. Прогресс</w:t>
      </w:r>
      <w:r w:rsidRPr="00DD21AA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Pr="00DD21AA">
        <w:rPr>
          <w:rFonts w:ascii="Times New Roman CYR" w:eastAsia="Times New Roman" w:hAnsi="Times New Roman CYR" w:cs="Times New Roman"/>
          <w:lang w:eastAsia="ru-RU"/>
        </w:rPr>
        <w:tab/>
      </w:r>
    </w:p>
    <w:p w:rsidR="00DD21AA" w:rsidRPr="00DD21AA" w:rsidRDefault="00DD21AA" w:rsidP="00DD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Об утверждении Порядка ведения реестра муниципального имущества, находящегося в собс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твенности  </w:t>
      </w:r>
      <w:proofErr w:type="spellStart"/>
      <w:r w:rsidRPr="00DD21A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 сельского поселения</w:t>
      </w:r>
    </w:p>
    <w:p w:rsidR="00DD21AA" w:rsidRPr="00063B39" w:rsidRDefault="00DD21AA" w:rsidP="00DD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DD21AA" w:rsidRPr="00DD21AA" w:rsidRDefault="00DD21AA" w:rsidP="00DD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(зарегистрирован Министерством юстиции Российской Федерации 01 декабря 2023 года, регистрационный номер № 76239)</w:t>
      </w:r>
    </w:p>
    <w:p w:rsidR="00DD21AA" w:rsidRPr="00DD21AA" w:rsidRDefault="00DD21AA" w:rsidP="00DD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D21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ПОСТАНОВЛЯЮ: </w:t>
      </w:r>
    </w:p>
    <w:p w:rsidR="00DD21AA" w:rsidRPr="00DD21AA" w:rsidRDefault="00DD21AA" w:rsidP="00DD21AA">
      <w:pPr>
        <w:tabs>
          <w:tab w:val="left" w:pos="91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1. Утвердить Порядок ведения реестра муниципального имущества, находящегося в собственности </w:t>
      </w:r>
      <w:proofErr w:type="spellStart"/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сельского поселения согласно приложению № 1 к настоящему постановлению.</w:t>
      </w:r>
    </w:p>
    <w:p w:rsidR="00DD21AA" w:rsidRPr="00DD21AA" w:rsidRDefault="00DD21AA" w:rsidP="00DD21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         2. Утвердить форму реестра муниципального имущества, находящегося в собственности </w:t>
      </w:r>
      <w:proofErr w:type="spellStart"/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сельского поселения согласно приложению № 2 к настоящему постановлению.</w:t>
      </w:r>
    </w:p>
    <w:p w:rsidR="00DD21AA" w:rsidRPr="00DD21AA" w:rsidRDefault="00DD21AA" w:rsidP="00DD21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         3. Признать утратившим силу постановление Администрации </w:t>
      </w:r>
      <w:proofErr w:type="spellStart"/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сельского поселения «Об утверждении Положения «О ведении Реестра объектов муниципальной собственности </w:t>
      </w:r>
      <w:proofErr w:type="spellStart"/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сельского поселения» от 24.06.2015  № 43.</w:t>
      </w:r>
    </w:p>
    <w:p w:rsidR="00DD21AA" w:rsidRPr="00DD21AA" w:rsidRDefault="00DD21AA" w:rsidP="00DD21A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        4.</w:t>
      </w:r>
      <w:r w:rsidRPr="00DD21AA">
        <w:rPr>
          <w:rFonts w:ascii="Times New Roman" w:eastAsia="Calibri" w:hAnsi="Times New Roman" w:cs="Times New Roman"/>
          <w:sz w:val="20"/>
          <w:szCs w:val="20"/>
        </w:rPr>
        <w:t xml:space="preserve"> Опубликовать постановление в бюллетене «Официальный вестник </w:t>
      </w:r>
      <w:proofErr w:type="spellStart"/>
      <w:r w:rsidRPr="00DD21AA">
        <w:rPr>
          <w:rFonts w:ascii="Times New Roman" w:eastAsia="Calibri" w:hAnsi="Times New Roman" w:cs="Times New Roman"/>
          <w:sz w:val="20"/>
          <w:szCs w:val="20"/>
        </w:rPr>
        <w:t>Прогресского</w:t>
      </w:r>
      <w:proofErr w:type="spellEnd"/>
      <w:r w:rsidRPr="00DD21AA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поселения», </w:t>
      </w:r>
      <w:proofErr w:type="gramStart"/>
      <w:r w:rsidRPr="00DD21A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DD2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официальном сайте Администрации </w:t>
      </w:r>
      <w:proofErr w:type="spellStart"/>
      <w:r w:rsidRPr="00DD21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21AA">
        <w:rPr>
          <w:rFonts w:ascii="Times New Roman" w:eastAsia="Calibri" w:hAnsi="Times New Roman" w:cs="Times New Roman"/>
          <w:sz w:val="20"/>
          <w:szCs w:val="20"/>
        </w:rPr>
        <w:t xml:space="preserve">          5.  </w:t>
      </w:r>
      <w:proofErr w:type="gramStart"/>
      <w:r w:rsidRPr="00DD21AA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DD21AA">
        <w:rPr>
          <w:rFonts w:ascii="Times New Roman" w:eastAsia="Calibri" w:hAnsi="Times New Roman" w:cs="Times New Roman"/>
          <w:sz w:val="20"/>
          <w:szCs w:val="20"/>
        </w:rPr>
        <w:t xml:space="preserve"> выполнением настоящего по</w:t>
      </w:r>
      <w:r>
        <w:rPr>
          <w:rFonts w:ascii="Times New Roman" w:eastAsia="Calibri" w:hAnsi="Times New Roman" w:cs="Times New Roman"/>
          <w:sz w:val="20"/>
          <w:szCs w:val="20"/>
        </w:rPr>
        <w:t xml:space="preserve">становления оставляю за собой. </w:t>
      </w:r>
    </w:p>
    <w:p w:rsidR="00DD21AA" w:rsidRPr="00DD21AA" w:rsidRDefault="00DD21AA" w:rsidP="00DD2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сельского поселения:                         В. В. Демьянова</w:t>
      </w:r>
    </w:p>
    <w:tbl>
      <w:tblPr>
        <w:tblW w:w="9619" w:type="dxa"/>
        <w:tblLook w:val="0000" w:firstRow="0" w:lastRow="0" w:firstColumn="0" w:lastColumn="0" w:noHBand="0" w:noVBand="0"/>
      </w:tblPr>
      <w:tblGrid>
        <w:gridCol w:w="9619"/>
      </w:tblGrid>
      <w:tr w:rsidR="00DD21AA" w:rsidRPr="00063B39" w:rsidTr="002B2850">
        <w:trPr>
          <w:trHeight w:val="271"/>
        </w:trPr>
        <w:tc>
          <w:tcPr>
            <w:tcW w:w="9619" w:type="dxa"/>
            <w:shd w:val="clear" w:color="auto" w:fill="auto"/>
          </w:tcPr>
          <w:p w:rsidR="00DD21AA" w:rsidRPr="00063B39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Приложение № 1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Администрации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сельского поселения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от 11.09.2024 № 102</w:t>
      </w:r>
    </w:p>
    <w:p w:rsid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Порядок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ведения реестра муниципального имущества, находящегося в собственности </w:t>
      </w:r>
      <w:proofErr w:type="spellStart"/>
      <w:r w:rsidRPr="00DD21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сельского поселения</w:t>
      </w:r>
      <w:r w:rsidRPr="00DD21A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br/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I. Общие положения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1.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Настоящий Порядок устанавливает правила ведения Администрацией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сельского поселения (далее – Администрация) реестра муниципального имущества, находящегося в собственности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46823" w:rsidRDefault="00F46823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2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машино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сельского поселения;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сельского поселения.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5. Ведение реестра осуществляется Администрацией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сельского поселения (далее - уполномоченный орган).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8. Реестр ведется на бумажном и (или) электронном носителях.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Способ ведения реестра определяется уполномоченным органом самостоятельно.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9.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10. Неотъемлемой частью реестра являются: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а) документы, подтверждающие сведения, включаемые в реестр (далее - подтверждающие документы);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б) иные документы, предусмотренные правовыми актами органа местного самоуправления.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DD21AA" w:rsidRPr="00063B39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II. Состав сведений, подлежащих отражению в реестре</w:t>
      </w:r>
    </w:p>
    <w:p w:rsid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 12. Реестр состоит из 3 разделов.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видах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недвижимого, движимого и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иного имущества и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лицах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, </w:t>
      </w:r>
    </w:p>
    <w:p w:rsidR="00F46823" w:rsidRDefault="00F46823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3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обладающих правами на объекты учета и сведениями о них.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В разделы 1, 2, 3 сведения вносятся с приложением подтверждающих документов.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13. В раздел 1 вносятся сведения о недвижимом имуществе.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подраздел 1.1 раздела 1 реестра вносятся сведения о земельных участках,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наименование земельного участка;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кадастровый номер земельного участка (с датой присвоения);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 (с указанием кода ОКТМО) (далее - сведения о правообладателе);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стоимости земельного участка;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произведенном улучшении земельного участка;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 (далее 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</w:t>
      </w:r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кроме автомобильных дорог, отнесенных законом к недвижимости,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наименование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назначение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адрес (местоположение) объекта учета (с указанием кода ОКТМО);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кадастровый номер объекта учета (с датой присвоения);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земельном участке, на котором расположен объект учета (кадастровый номер, форма собственности, площадь);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инвентарный номер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стоимости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В подраздел 1.3 раздела 1 реестра вносятся сведения о помещениях, </w:t>
      </w:r>
      <w:proofErr w:type="spell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машино</w:t>
      </w:r>
      <w:proofErr w:type="spell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-местах и иных объектах, отнесенных законом к недвижимости,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объекта учета;</w:t>
      </w:r>
    </w:p>
    <w:p w:rsidR="00E50CB2" w:rsidRDefault="00E50CB2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E50CB2" w:rsidRDefault="00E50CB2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4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наименование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назначение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адрес (местоположение) объекта учета (с указанием кода ОКТМО);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кадастровый номер объекта учета (с датой присвоения);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здании, сооружении, в состав которого входит объект учета (кадастровый номер, форма собственности);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номер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стоимости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наименование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-назначение объекта учета;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порт (место) регистрации и (или) место (аэродром) базирования (с указанием кода ОКТМО);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регистрационный номер (с датой присвоения);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стоимости судна;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- сведения о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произведенных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ремонте, модернизации судна;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подраздел 2.1 раздела 2 реестра вносятся сведения об акциях,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E50CB2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50CB2" w:rsidRDefault="00E50CB2" w:rsidP="00E50C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5</w:t>
      </w:r>
    </w:p>
    <w:p w:rsidR="00DD21AA" w:rsidRPr="00DD21AA" w:rsidRDefault="00E50CB2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r w:rsidR="00DD21AA"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доля (вклад) в уставном (складочном) капитале хозяйственного общества, товарищества в процентах;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наименование движимого имущества (иного имущества)</w:t>
      </w:r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 указание</w:t>
      </w:r>
      <w:proofErr w:type="gramStart"/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>м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марки, модели, года выпуска, инвентарного номера;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объекте учета, в том числе: марка, модель, год выпуска, инвентарный номер;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стоимости;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размер доли в праве общей долевой собственности на объекты недвижимого и (или) движимого имущества;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стоимости доли;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</w:t>
      </w:r>
      <w:r w:rsidRPr="00063B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лица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 сведения о лице, в пользу которого установлены ограничения (обременения);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раздел 3 вносятся сведения о лицах, обладающих правами на муниципальное имущество и сведениями о нем, в том числе: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сведения о правообладателях;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реестровый номер объектов учета, принадлежащих на соответствующем вещном праве;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реестровый номер объектов учета, вещные права на которые ограничены (обременены) в пользу правообладателя;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иные сведения (при необходимости).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Ведение учета объекта учета без указания стоимостной оценки не допускается.</w:t>
      </w:r>
    </w:p>
    <w:p w:rsidR="00DD21AA" w:rsidRPr="00063B39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444444"/>
          <w:lang w:val="en-US" w:eastAsia="ru-RU"/>
        </w:rPr>
        <w:t>I</w:t>
      </w:r>
      <w:r w:rsidRPr="00DD21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II. Порядок учета муниципального имущества</w:t>
      </w:r>
    </w:p>
    <w:p w:rsidR="00213815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</w:t>
      </w:r>
      <w:r w:rsidR="00734F6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соответствующего</w:t>
      </w:r>
      <w:r w:rsidR="00734F6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права </w:t>
      </w:r>
      <w:r w:rsidR="00734F6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на объект учета направить </w:t>
      </w:r>
      <w:r w:rsidR="00734F6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уполномоченный</w:t>
      </w:r>
      <w:proofErr w:type="gramEnd"/>
      <w:r w:rsidR="00734F6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орган заявление </w:t>
      </w:r>
    </w:p>
    <w:p w:rsidR="00734F61" w:rsidRDefault="00734F61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734F61" w:rsidRDefault="00734F61" w:rsidP="00734F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6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внесении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в реестр сведений о таком имуществе с одновременным направлением подтверждающих документов.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16.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17.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18. В случае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ab/>
        <w:t xml:space="preserve">19. </w:t>
      </w:r>
      <w:proofErr w:type="gramStart"/>
      <w:r w:rsidRPr="00DD21AA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DD21AA"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  <w:t xml:space="preserve"> и реквизитов документов, подтверждающих засекречивание этих сведений.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подписи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уполномоченным должностным лицом правообладателя.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в) о приостановлении процедуры учета в реестре объекта учета в следующих случаях: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DD21AA" w:rsidRPr="00DD21AA" w:rsidRDefault="00734F61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7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-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установлены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23.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а) вносит в реестр сведения об объекте учета, в том числе о правообладателях (при наличии);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 xml:space="preserve">24. </w:t>
      </w:r>
      <w:proofErr w:type="gramStart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осуществляется уполномоченным органом в порядке, установленном пунктами 15-23 настоящего Порядка.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D21AA">
        <w:rPr>
          <w:rFonts w:ascii="Times New Roman" w:eastAsia="Times New Roman" w:hAnsi="Times New Roman" w:cs="Times New Roman"/>
          <w:b/>
          <w:lang w:eastAsia="zh-CN"/>
        </w:rPr>
        <w:t>IV. Предоставление информации из реестра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27. </w:t>
      </w:r>
      <w:proofErr w:type="gramStart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  <w:t xml:space="preserve">Уполномоченный орган вправе </w:t>
      </w:r>
      <w:proofErr w:type="gramStart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предоставлять документы</w:t>
      </w:r>
      <w:proofErr w:type="gramEnd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указанные в настоящем пункте, безвозмездно или за плату, в случае если размер указанной платы определен </w:t>
      </w:r>
      <w:r w:rsidRPr="00DD21AA">
        <w:rPr>
          <w:rFonts w:ascii="Times New Roman" w:eastAsia="Times New Roman" w:hAnsi="Times New Roman" w:cs="Times New Roman"/>
          <w:bCs/>
          <w:color w:val="404040"/>
          <w:sz w:val="20"/>
          <w:szCs w:val="20"/>
          <w:lang w:eastAsia="zh-CN"/>
        </w:rPr>
        <w:t>р</w:t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ешением Совета депутатов </w:t>
      </w:r>
      <w:proofErr w:type="spellStart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  <w:t xml:space="preserve">29. </w:t>
      </w:r>
      <w:proofErr w:type="gramStart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DD21AA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D21AA" w:rsidRPr="00DD21AA" w:rsidRDefault="00734F61" w:rsidP="00DD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lastRenderedPageBreak/>
        <w:t>8</w:t>
      </w:r>
    </w:p>
    <w:p w:rsidR="00DD21AA" w:rsidRPr="00DD21AA" w:rsidRDefault="00DD21AA" w:rsidP="00DD21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Приложение 1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к Порядку</w:t>
      </w:r>
      <w:r w:rsidRPr="00DD21A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ведения реестра 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муниципального имущества, находящегося </w:t>
      </w:r>
      <w:proofErr w:type="gramStart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в</w:t>
      </w:r>
      <w:proofErr w:type="gramEnd"/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собственности </w:t>
      </w:r>
      <w:proofErr w:type="spellStart"/>
      <w:r w:rsidRPr="00DD21AA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zh-CN"/>
        </w:rPr>
        <w:t xml:space="preserve"> сельского поселения</w:t>
      </w:r>
    </w:p>
    <w:p w:rsid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  <w:t>Форма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  <w:t xml:space="preserve">выписки из реестра имущества, находящегося </w:t>
      </w:r>
      <w:proofErr w:type="gramStart"/>
      <w:r w:rsidRPr="00DD21AA"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  <w:t>в</w:t>
      </w:r>
      <w:proofErr w:type="gramEnd"/>
      <w:r w:rsidRPr="00DD21AA"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  <w:t xml:space="preserve"> муниципальной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i/>
          <w:color w:val="212529"/>
          <w:sz w:val="20"/>
          <w:szCs w:val="20"/>
          <w:lang w:eastAsia="ru-RU"/>
        </w:rPr>
        <w:t>собственности</w:t>
      </w:r>
    </w:p>
    <w:p w:rsid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ВЫПИСКА N____</w:t>
      </w:r>
      <w:r w:rsidRPr="00DD21A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из реестра муниципального имущества об объекте учета муниципального имущества</w:t>
      </w:r>
      <w:r w:rsidRPr="00DD21A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824"/>
      </w:tblGrid>
      <w:tr w:rsidR="00DD21AA" w:rsidRPr="00DD21AA" w:rsidTr="002B2850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DD2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DD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DD21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DD21AA" w:rsidRPr="00DD21AA" w:rsidTr="002B2850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DD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DD21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DD21AA" w:rsidRPr="00DD21AA" w:rsidTr="002B2850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DD21AA" w:rsidRPr="00DD21AA" w:rsidRDefault="00DD21AA" w:rsidP="00DD2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DD21AA" w:rsidRPr="00DD21AA" w:rsidTr="002B2850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сведений</w:t>
            </w:r>
          </w:p>
        </w:tc>
      </w:tr>
      <w:tr w:rsidR="00DD21AA" w:rsidRPr="00DD21AA" w:rsidTr="002B285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D21AA" w:rsidRPr="00DD21AA" w:rsidTr="002B285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1AA" w:rsidRPr="00DD21AA" w:rsidRDefault="00DD21AA" w:rsidP="00DD2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ab/>
      </w:r>
      <w:r w:rsidRPr="00DD21AA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512"/>
        <w:gridCol w:w="910"/>
        <w:gridCol w:w="370"/>
        <w:gridCol w:w="1755"/>
        <w:gridCol w:w="248"/>
        <w:gridCol w:w="329"/>
        <w:gridCol w:w="2264"/>
      </w:tblGrid>
      <w:tr w:rsidR="00DD21AA" w:rsidRPr="00DD21AA" w:rsidTr="002B2850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изменения</w:t>
            </w:r>
          </w:p>
        </w:tc>
      </w:tr>
      <w:tr w:rsidR="00DD21AA" w:rsidRPr="00DD21AA" w:rsidTr="002B285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D21AA" w:rsidRPr="00DD21AA" w:rsidTr="002B285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DD21AA" w:rsidRPr="00DD21AA" w:rsidTr="002B2850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ПОДТВЕРЖДЕНИИ СВЕДЕНИЙ,</w:t>
            </w:r>
            <w:r w:rsidRPr="00DD21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СОДЕРЖАЩИХСЯ В НАСТОЯЩЕЙ ВЫПИСКЕ</w:t>
            </w:r>
          </w:p>
        </w:tc>
      </w:tr>
      <w:tr w:rsidR="00DD21AA" w:rsidRPr="00DD21AA" w:rsidTr="002B2850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D21AA" w:rsidRPr="00DD21AA" w:rsidRDefault="00DD21AA" w:rsidP="00DD2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94"/>
        <w:gridCol w:w="513"/>
        <w:gridCol w:w="1198"/>
        <w:gridCol w:w="541"/>
        <w:gridCol w:w="635"/>
        <w:gridCol w:w="5593"/>
      </w:tblGrid>
      <w:tr w:rsidR="00DD21AA" w:rsidRPr="00DD21AA" w:rsidTr="002B2850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1AA" w:rsidRPr="00DD21AA" w:rsidTr="002B2850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DD21AA" w:rsidRPr="00063B39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DD21AA" w:rsidRPr="00DD21AA" w:rsidRDefault="00DD21AA" w:rsidP="00DD21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Приложение 2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к Порядку ведения реестра 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муниципального имущества, находящегося </w:t>
      </w:r>
      <w:proofErr w:type="gramStart"/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в</w:t>
      </w:r>
      <w:proofErr w:type="gramEnd"/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собственности </w:t>
      </w:r>
      <w:proofErr w:type="spellStart"/>
      <w:r w:rsidRPr="00DD21AA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zh-CN"/>
        </w:rPr>
        <w:t xml:space="preserve"> сельского поселения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04040"/>
          <w:sz w:val="20"/>
          <w:szCs w:val="20"/>
          <w:lang w:eastAsia="zh-CN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proofErr w:type="spellStart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Боровичского</w:t>
      </w:r>
      <w:proofErr w:type="spellEnd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Кому: __________________________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Контактные данные: 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Уведомление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отсутствии информации в реестре муниципального имущества 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результатам рассмотрения заявления </w:t>
      </w:r>
      <w:proofErr w:type="gramStart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 № _____ (</w:t>
      </w:r>
      <w:proofErr w:type="gramStart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Заявитель</w:t>
      </w:r>
      <w:proofErr w:type="gramEnd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E50CB2" w:rsidRDefault="00E50CB2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D21AA" w:rsidRDefault="00734F61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9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Дополнительно информируем: ___________________________________.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Ответственный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   _____________  __________     __________________________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DD21AA" w:rsidRDefault="00DD21AA" w:rsidP="00DD21AA">
      <w:pPr>
        <w:spacing w:after="160" w:line="25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D21AA" w:rsidRPr="00DD21AA" w:rsidRDefault="00DD21AA" w:rsidP="00DD2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Форма решения об отказе в выдаче выписки из реестра</w:t>
      </w:r>
    </w:p>
    <w:p w:rsidR="00DD21AA" w:rsidRPr="00063B39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212529"/>
          <w:sz w:val="24"/>
          <w:szCs w:val="24"/>
          <w:lang w:eastAsia="ru-RU"/>
        </w:rPr>
      </w:pPr>
      <w:r w:rsidRPr="00063B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муниципального имущества</w:t>
      </w:r>
    </w:p>
    <w:p w:rsidR="00DD21AA" w:rsidRPr="00063B39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сельского поселения  </w:t>
      </w:r>
      <w:proofErr w:type="spellStart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Боровичского</w:t>
      </w:r>
      <w:proofErr w:type="spellEnd"/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Кому: __________________________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Контактные данные: 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Решение об отказе в выдаче выписки из реестра муниципального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имущества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результатам рассмотрения заявления </w:t>
      </w:r>
      <w:proofErr w:type="gramStart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 № ______ (</w:t>
      </w:r>
      <w:proofErr w:type="gramStart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Заявитель</w:t>
      </w:r>
      <w:proofErr w:type="gramEnd"/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Дополнительно информируем: _______________________________.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Ответственный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    _____________  _________    ____________________________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DD21AA" w:rsidRDefault="00DD21AA" w:rsidP="00DD21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D21AA" w:rsidRPr="00DD21AA" w:rsidRDefault="00DD21AA" w:rsidP="00DD2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Приложение № 2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к постановлению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Администрации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</w:t>
      </w: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сельского поселения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D21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от 11.09.2024 № 102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D21A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Реестр 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D21A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муниципального имущества, находящегося в собственности </w:t>
      </w:r>
    </w:p>
    <w:p w:rsidR="00DD21AA" w:rsidRPr="00DD21AA" w:rsidRDefault="00DD21AA" w:rsidP="00DD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04040"/>
          <w:lang w:eastAsia="zh-CN"/>
        </w:rPr>
      </w:pPr>
      <w:proofErr w:type="spellStart"/>
      <w:r w:rsidRPr="00DD21AA">
        <w:rPr>
          <w:rFonts w:ascii="Times New Roman" w:eastAsia="Times New Roman" w:hAnsi="Times New Roman" w:cs="Times New Roman"/>
          <w:bCs/>
          <w:color w:val="262626"/>
          <w:lang w:eastAsia="zh-CN"/>
        </w:rPr>
        <w:t>Прогресского</w:t>
      </w:r>
      <w:proofErr w:type="spellEnd"/>
      <w:r w:rsidRPr="00DD21AA">
        <w:rPr>
          <w:rFonts w:ascii="Times New Roman" w:eastAsia="Times New Roman" w:hAnsi="Times New Roman" w:cs="Times New Roman"/>
          <w:bCs/>
          <w:color w:val="262626"/>
          <w:lang w:eastAsia="zh-CN"/>
        </w:rPr>
        <w:t xml:space="preserve"> сельского поселения</w:t>
      </w:r>
    </w:p>
    <w:p w:rsidR="00DD21AA" w:rsidRPr="00063B39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Раздел 1. Сведения о муниципальном недвижимом имуществе</w:t>
      </w:r>
    </w:p>
    <w:p w:rsidR="00DD21AA" w:rsidRPr="00063B39" w:rsidRDefault="00DD21AA" w:rsidP="00DD21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60" w:line="240" w:lineRule="auto"/>
        <w:ind w:right="160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91"/>
        <w:gridCol w:w="933"/>
        <w:gridCol w:w="933"/>
        <w:gridCol w:w="696"/>
        <w:gridCol w:w="478"/>
        <w:gridCol w:w="802"/>
        <w:gridCol w:w="665"/>
        <w:gridCol w:w="804"/>
        <w:gridCol w:w="1482"/>
        <w:gridCol w:w="1076"/>
        <w:gridCol w:w="556"/>
      </w:tblGrid>
      <w:tr w:rsidR="00DD21AA" w:rsidRPr="00DD21AA" w:rsidTr="002B2850">
        <w:trPr>
          <w:cantSplit/>
          <w:trHeight w:val="2625"/>
          <w:jc w:val="center"/>
        </w:trPr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(</w:t>
            </w:r>
            <w:proofErr w:type="gramStart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положение</w:t>
            </w:r>
            <w:proofErr w:type="gramEnd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DD21AA" w:rsidRPr="00DD21AA" w:rsidRDefault="00DD21AA" w:rsidP="002B2850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DD21AA" w:rsidRPr="00DD21AA" w:rsidRDefault="00DD21AA" w:rsidP="002B2850">
            <w:pPr>
              <w:spacing w:after="0" w:line="240" w:lineRule="auto"/>
              <w:ind w:right="-12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DD21AA" w:rsidRPr="00DD21AA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DD21AA" w:rsidRPr="00DD21AA" w:rsidTr="002B2850">
        <w:trPr>
          <w:trHeight w:val="232"/>
          <w:jc w:val="center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lastRenderedPageBreak/>
        <w:t>10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</w:t>
      </w: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ОКТМО) (далее - сведения о правообладателе);</w:t>
      </w:r>
      <w:proofErr w:type="gramEnd"/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площадь, категория земель, вид разрешенного использования; 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(обременения).</w:t>
      </w:r>
    </w:p>
    <w:p w:rsidR="00DD21AA" w:rsidRDefault="00DD21AA" w:rsidP="00DD21A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</w:pPr>
    </w:p>
    <w:p w:rsidR="00DD21AA" w:rsidRPr="00DD21AA" w:rsidRDefault="00DD21AA" w:rsidP="00DD21A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09"/>
        <w:gridCol w:w="381"/>
        <w:gridCol w:w="544"/>
        <w:gridCol w:w="698"/>
        <w:gridCol w:w="540"/>
        <w:gridCol w:w="830"/>
        <w:gridCol w:w="408"/>
        <w:gridCol w:w="412"/>
        <w:gridCol w:w="687"/>
        <w:gridCol w:w="550"/>
        <w:gridCol w:w="548"/>
        <w:gridCol w:w="550"/>
        <w:gridCol w:w="687"/>
        <w:gridCol w:w="548"/>
        <w:gridCol w:w="685"/>
        <w:gridCol w:w="634"/>
      </w:tblGrid>
      <w:tr w:rsidR="00DD21AA" w:rsidRPr="00DD21AA" w:rsidTr="002B2850">
        <w:trPr>
          <w:cantSplit/>
          <w:trHeight w:val="5197"/>
          <w:jc w:val="center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  объекта учета</w:t>
            </w:r>
          </w:p>
          <w:p w:rsidR="00DD21AA" w:rsidRPr="00DD21AA" w:rsidRDefault="00DD21AA" w:rsidP="002B2850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объекта   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       правообладателе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DD21AA" w:rsidRPr="00DD21AA" w:rsidRDefault="00DD21AA" w:rsidP="002B2850">
            <w:pPr>
              <w:spacing w:after="0" w:line="240" w:lineRule="auto"/>
              <w:ind w:right="-4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(обременения)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объекте единого недвижимого комплекса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DD21AA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DD21AA" w:rsidTr="002B2850">
        <w:trPr>
          <w:trHeight w:val="409"/>
          <w:jc w:val="center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DD21AA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D21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тип объекта (</w:t>
      </w:r>
      <w:proofErr w:type="gramStart"/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жилое</w:t>
      </w:r>
      <w:proofErr w:type="gramEnd"/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либо нежилое), площадь, протяженность, этажность (подземная этажность);</w:t>
      </w:r>
    </w:p>
    <w:p w:rsidR="00DD21AA" w:rsidRPr="00DD21AA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*** - произведенных </w:t>
      </w:r>
      <w:proofErr w:type="gramStart"/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достройках</w:t>
      </w:r>
      <w:proofErr w:type="gramEnd"/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капитальном ремонте, реконструкции, модернизации, сносе;</w:t>
      </w:r>
    </w:p>
    <w:p w:rsidR="00DD21AA" w:rsidRPr="00DD21AA" w:rsidRDefault="00DD21AA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DD21AA" w:rsidRPr="00DD21AA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DD21AA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DD21AA" w:rsidRDefault="00DD21AA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213815" w:rsidRDefault="00213815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213815" w:rsidRDefault="00213815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213815" w:rsidRDefault="00213815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213815" w:rsidRDefault="00213815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213815" w:rsidRDefault="00213815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E50CB2" w:rsidRDefault="00E50CB2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213815" w:rsidRPr="00213815" w:rsidRDefault="00734F61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lastRenderedPageBreak/>
        <w:t>11</w:t>
      </w:r>
    </w:p>
    <w:p w:rsidR="00DD21AA" w:rsidRPr="00213815" w:rsidRDefault="00DD21AA" w:rsidP="00DD2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 xml:space="preserve">Подраздел 1.3. Помещения, </w:t>
      </w:r>
      <w:proofErr w:type="spellStart"/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машино</w:t>
      </w:r>
      <w:proofErr w:type="spellEnd"/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513"/>
        <w:gridCol w:w="395"/>
        <w:gridCol w:w="495"/>
        <w:gridCol w:w="802"/>
        <w:gridCol w:w="529"/>
        <w:gridCol w:w="951"/>
        <w:gridCol w:w="519"/>
        <w:gridCol w:w="328"/>
        <w:gridCol w:w="514"/>
        <w:gridCol w:w="373"/>
        <w:gridCol w:w="742"/>
        <w:gridCol w:w="742"/>
        <w:gridCol w:w="728"/>
        <w:gridCol w:w="817"/>
        <w:gridCol w:w="678"/>
      </w:tblGrid>
      <w:tr w:rsidR="00DD21AA" w:rsidRPr="00213815" w:rsidTr="002B2850">
        <w:trPr>
          <w:cantSplit/>
          <w:trHeight w:val="4187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DD21AA" w:rsidRPr="00213815" w:rsidRDefault="00DD21AA" w:rsidP="002B285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(местоположение) объекта учета (с указанием кода ОКТМО)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изменениях объекта учета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установленных</w:t>
            </w:r>
            <w:proofErr w:type="gramEnd"/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ограничениях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(обременениях)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213815" w:rsidTr="002B2850">
        <w:trPr>
          <w:trHeight w:val="206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D21AA" w:rsidRPr="00213815" w:rsidTr="002B2850">
        <w:trPr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тип объекта (</w:t>
      </w: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жилое</w:t>
      </w:r>
      <w:proofErr w:type="gramEnd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либо нежилое), площадь, этажность (подземная этажность);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*** - произведенных </w:t>
      </w: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достройках</w:t>
      </w:r>
      <w:proofErr w:type="gramEnd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, капитальном ремонте, реконструкции, модернизации, сносе;</w:t>
      </w:r>
    </w:p>
    <w:p w:rsidR="00DD21AA" w:rsidRPr="00213815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DD21AA" w:rsidRPr="00213815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DD21AA" w:rsidRPr="00213815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36"/>
        <w:gridCol w:w="784"/>
        <w:gridCol w:w="357"/>
        <w:gridCol w:w="932"/>
        <w:gridCol w:w="588"/>
        <w:gridCol w:w="739"/>
        <w:gridCol w:w="387"/>
        <w:gridCol w:w="16"/>
        <w:gridCol w:w="6"/>
        <w:gridCol w:w="874"/>
        <w:gridCol w:w="545"/>
        <w:gridCol w:w="778"/>
        <w:gridCol w:w="966"/>
        <w:gridCol w:w="929"/>
        <w:gridCol w:w="675"/>
      </w:tblGrid>
      <w:tr w:rsidR="00DD21AA" w:rsidRPr="00213815" w:rsidTr="002B2850">
        <w:trPr>
          <w:cantSplit/>
          <w:trHeight w:val="2994"/>
          <w:jc w:val="center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:rsidR="00DD21AA" w:rsidRPr="00213815" w:rsidRDefault="00DD21AA" w:rsidP="002B2850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btLr"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основных характеристиках судна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ограничениях (обременениях)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213815" w:rsidTr="002B2850">
        <w:trPr>
          <w:trHeight w:val="415"/>
          <w:jc w:val="center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ст стр</w:t>
      </w:r>
      <w:proofErr w:type="gramEnd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оительства (для строящихся судов);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DD21AA" w:rsidRPr="00213815" w:rsidRDefault="00DD21AA" w:rsidP="00DD21AA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ind w:right="160"/>
        <w:jc w:val="center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DD21AA" w:rsidRPr="00213815" w:rsidRDefault="00DD21AA" w:rsidP="00DD2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Подраздел 2.1. Сведения об акциях</w:t>
      </w:r>
    </w:p>
    <w:p w:rsidR="00213815" w:rsidRPr="00213815" w:rsidRDefault="00213815" w:rsidP="00DD21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</w:pPr>
    </w:p>
    <w:p w:rsidR="00213815" w:rsidRDefault="00213815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213815" w:rsidRPr="00213815" w:rsidRDefault="00213815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lastRenderedPageBreak/>
        <w:t>12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131"/>
        <w:gridCol w:w="1176"/>
        <w:gridCol w:w="1079"/>
        <w:gridCol w:w="1766"/>
        <w:gridCol w:w="1274"/>
        <w:gridCol w:w="1470"/>
        <w:gridCol w:w="1079"/>
      </w:tblGrid>
      <w:tr w:rsidR="00DD21AA" w:rsidRPr="00213815" w:rsidTr="002B2850">
        <w:trPr>
          <w:cantSplit/>
          <w:trHeight w:val="1907"/>
          <w:jc w:val="center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акциях 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063B39" w:rsidTr="002B285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D21AA" w:rsidRPr="00063B39" w:rsidTr="002B2850">
        <w:trPr>
          <w:jc w:val="center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DD21AA" w:rsidRPr="00063B39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213815" w:rsidRDefault="00DD21AA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DD21AA" w:rsidRPr="00213815" w:rsidRDefault="00DD21AA" w:rsidP="00DD2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089"/>
        <w:gridCol w:w="2042"/>
        <w:gridCol w:w="952"/>
        <w:gridCol w:w="1494"/>
        <w:gridCol w:w="1225"/>
        <w:gridCol w:w="1225"/>
        <w:gridCol w:w="813"/>
      </w:tblGrid>
      <w:tr w:rsidR="00DD21AA" w:rsidRPr="00063B39" w:rsidTr="00734F61">
        <w:trPr>
          <w:cantSplit/>
          <w:trHeight w:val="2526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213815" w:rsidRDefault="00213815" w:rsidP="002138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</w:t>
            </w:r>
            <w:r w:rsidR="00DD21AA"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  <w:p w:rsidR="00DD21AA" w:rsidRPr="00063B39" w:rsidRDefault="00DD21AA" w:rsidP="0021381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правообладателе</w:t>
            </w:r>
            <w:proofErr w:type="gramEnd"/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DD21AA" w:rsidRPr="00063B39" w:rsidRDefault="00DD21AA" w:rsidP="002B2850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063B39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063B39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063B39" w:rsidTr="00213815">
        <w:trPr>
          <w:trHeight w:val="269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1381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063B39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06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DD21AA" w:rsidRPr="00063B39" w:rsidRDefault="00DD21AA" w:rsidP="00DD21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Default="00DD21AA" w:rsidP="002138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213815" w:rsidRPr="00213815" w:rsidRDefault="00213815" w:rsidP="002138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828"/>
        <w:gridCol w:w="1100"/>
        <w:gridCol w:w="1100"/>
        <w:gridCol w:w="1100"/>
        <w:gridCol w:w="1239"/>
        <w:gridCol w:w="1374"/>
        <w:gridCol w:w="1376"/>
        <w:gridCol w:w="822"/>
      </w:tblGrid>
      <w:tr w:rsidR="00DD21AA" w:rsidRPr="00213815" w:rsidTr="002B2850">
        <w:trPr>
          <w:cantSplit/>
          <w:trHeight w:val="2391"/>
          <w:jc w:val="center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право-</w:t>
            </w:r>
          </w:p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gramEnd"/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DD21AA" w:rsidRPr="00213815" w:rsidRDefault="00DD21AA" w:rsidP="002B2850">
            <w:pPr>
              <w:spacing w:after="0" w:line="240" w:lineRule="auto"/>
              <w:ind w:right="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213815" w:rsidRDefault="00DD21AA" w:rsidP="002B2850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213815" w:rsidTr="002B2850">
        <w:trPr>
          <w:trHeight w:val="250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D21AA" w:rsidRPr="00213815" w:rsidTr="002B2850">
        <w:trPr>
          <w:trHeight w:val="15"/>
          <w:jc w:val="center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марка, модель, год выпуска, инвентарный номер;</w:t>
      </w:r>
    </w:p>
    <w:p w:rsidR="00734F61" w:rsidRDefault="00734F61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E50CB2" w:rsidRDefault="00E50CB2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213815" w:rsidRPr="00213815" w:rsidRDefault="00213815" w:rsidP="00213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3</w:t>
      </w:r>
    </w:p>
    <w:p w:rsidR="00DD21AA" w:rsidRPr="00213815" w:rsidRDefault="00DD21AA" w:rsidP="002138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213815" w:rsidRDefault="00DD21AA" w:rsidP="002138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213815" w:rsidRDefault="00213815" w:rsidP="002138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</w:p>
    <w:p w:rsidR="00DD21AA" w:rsidRPr="00213815" w:rsidRDefault="00DD21AA" w:rsidP="002138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39"/>
        <w:gridCol w:w="687"/>
        <w:gridCol w:w="679"/>
        <w:gridCol w:w="951"/>
        <w:gridCol w:w="1357"/>
        <w:gridCol w:w="1293"/>
        <w:gridCol w:w="1101"/>
        <w:gridCol w:w="1001"/>
        <w:gridCol w:w="1090"/>
      </w:tblGrid>
      <w:tr w:rsidR="00DD21AA" w:rsidRPr="00213815" w:rsidTr="002B2850">
        <w:trPr>
          <w:cantSplit/>
          <w:trHeight w:val="4205"/>
          <w:jc w:val="center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2138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213815" w:rsidRDefault="00DD21AA" w:rsidP="00213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213815" w:rsidTr="002B2850">
        <w:trPr>
          <w:trHeight w:val="407"/>
          <w:jc w:val="center"/>
        </w:trPr>
        <w:tc>
          <w:tcPr>
            <w:tcW w:w="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7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6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DD21AA" w:rsidRPr="00063B39" w:rsidRDefault="00DD21AA" w:rsidP="00DD2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proofErr w:type="gramStart"/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 - в том числе наименование такого имущества и его кадастровый номер (при наличии)</w:t>
      </w:r>
    </w:p>
    <w:p w:rsidR="00DD21AA" w:rsidRPr="00213815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DD21AA" w:rsidRPr="00213815" w:rsidRDefault="00DD21AA" w:rsidP="00DD2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21AA" w:rsidRPr="00213815" w:rsidRDefault="00DD21AA" w:rsidP="00DD2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138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:rsidR="00DD21AA" w:rsidRPr="00213815" w:rsidRDefault="00DD21AA" w:rsidP="00DD21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0"/>
          <w:szCs w:val="20"/>
          <w:lang w:eastAsia="ru-RU"/>
        </w:rPr>
      </w:pPr>
    </w:p>
    <w:tbl>
      <w:tblPr>
        <w:tblW w:w="50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309"/>
        <w:gridCol w:w="2309"/>
        <w:gridCol w:w="2886"/>
        <w:gridCol w:w="1636"/>
      </w:tblGrid>
      <w:tr w:rsidR="00DD21AA" w:rsidRPr="00213815" w:rsidTr="002B2850">
        <w:trPr>
          <w:trHeight w:val="993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3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DD21AA" w:rsidRPr="00213815" w:rsidTr="002B2850">
        <w:trPr>
          <w:trHeight w:val="148"/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ind w:right="-14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21AA" w:rsidRPr="00213815" w:rsidRDefault="00DD21AA" w:rsidP="002B2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138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DD21AA" w:rsidRPr="00213815" w:rsidRDefault="00DD21AA" w:rsidP="00DD2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21AA" w:rsidRPr="00213815" w:rsidRDefault="00DD21AA" w:rsidP="00DD21AA">
      <w:pPr>
        <w:spacing w:after="0" w:line="240" w:lineRule="auto"/>
        <w:rPr>
          <w:rFonts w:ascii="Bodoni MT Black" w:eastAsia="Times New Roman" w:hAnsi="Bodoni MT Black" w:cs="Times New Roman"/>
          <w:sz w:val="20"/>
          <w:szCs w:val="20"/>
          <w:lang w:eastAsia="zh-CN"/>
        </w:rPr>
      </w:pPr>
      <w:r w:rsidRPr="00213815">
        <w:rPr>
          <w:rFonts w:ascii="Bodoni MT Black" w:eastAsia="Times New Roman" w:hAnsi="Bodoni MT Black" w:cs="Times New Roman"/>
          <w:sz w:val="20"/>
          <w:szCs w:val="20"/>
          <w:lang w:eastAsia="zh-CN"/>
        </w:rPr>
        <w:t xml:space="preserve">                                                                            </w:t>
      </w:r>
    </w:p>
    <w:p w:rsidR="00DD21AA" w:rsidRPr="00213815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D21AA" w:rsidRPr="00213815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DD21AA" w:rsidRPr="00063B39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D21AA" w:rsidRPr="00063B39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D21AA" w:rsidRPr="00063B39" w:rsidRDefault="00DD21AA" w:rsidP="00DD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D21AA" w:rsidRDefault="00DD21AA" w:rsidP="00DD21AA"/>
    <w:p w:rsidR="00C93327" w:rsidRDefault="00C93327" w:rsidP="00DD21AA"/>
    <w:p w:rsidR="002B2850" w:rsidRDefault="002B2850" w:rsidP="00DD21AA"/>
    <w:p w:rsidR="002B2850" w:rsidRDefault="002B2850" w:rsidP="002B28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850">
        <w:rPr>
          <w:rFonts w:ascii="Times New Roman" w:hAnsi="Times New Roman" w:cs="Times New Roman"/>
          <w:sz w:val="20"/>
          <w:szCs w:val="20"/>
        </w:rPr>
        <w:lastRenderedPageBreak/>
        <w:t>14</w:t>
      </w:r>
    </w:p>
    <w:p w:rsidR="002B2850" w:rsidRPr="00DD21AA" w:rsidRDefault="002B2850" w:rsidP="002B2850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D21AA">
        <w:rPr>
          <w:rFonts w:ascii="Times New Roman" w:eastAsia="Times New Roman" w:hAnsi="Times New Roman" w:cs="Times New Roman"/>
          <w:b/>
          <w:color w:val="000000"/>
        </w:rPr>
        <w:t>ПОСТАНОВЛЕНИЕ АДМИНИСТРАЦИИ ПРОГРЕССКОГО СЕЛЬСКОГО ПОСЕЛЕНИЯ</w:t>
      </w:r>
    </w:p>
    <w:p w:rsidR="002B2850" w:rsidRPr="002B2850" w:rsidRDefault="002B2850" w:rsidP="002B2850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DD21AA">
        <w:rPr>
          <w:rFonts w:ascii="Times New Roman" w:eastAsia="Times New Roman" w:hAnsi="Times New Roman" w:cs="Times New Roman"/>
        </w:rPr>
        <w:tab/>
      </w:r>
      <w:r w:rsidRPr="00DD21AA">
        <w:rPr>
          <w:rFonts w:ascii="Times New Roman" w:eastAsia="Times New Roman" w:hAnsi="Times New Roman" w:cs="Times New Roman"/>
        </w:rPr>
        <w:tab/>
      </w:r>
      <w:r>
        <w:rPr>
          <w:rFonts w:ascii="Times New Roman CYR" w:eastAsia="Times New Roman" w:hAnsi="Times New Roman CYR" w:cs="Times New Roman"/>
          <w:b/>
          <w:lang w:eastAsia="ru-RU"/>
        </w:rPr>
        <w:t>26</w:t>
      </w:r>
      <w:r w:rsidRPr="00DD21AA">
        <w:rPr>
          <w:rFonts w:ascii="Times New Roman CYR" w:eastAsia="Times New Roman" w:hAnsi="Times New Roman CYR" w:cs="Times New Roman"/>
          <w:b/>
          <w:lang w:eastAsia="ru-RU"/>
        </w:rPr>
        <w:t>.0</w:t>
      </w:r>
      <w:r>
        <w:rPr>
          <w:rFonts w:ascii="Times New Roman CYR" w:eastAsia="Times New Roman" w:hAnsi="Times New Roman CYR" w:cs="Times New Roman"/>
          <w:b/>
          <w:lang w:eastAsia="ru-RU"/>
        </w:rPr>
        <w:t>8</w:t>
      </w:r>
      <w:r w:rsidRPr="00DD21AA">
        <w:rPr>
          <w:rFonts w:ascii="Times New Roman CYR" w:eastAsia="Times New Roman" w:hAnsi="Times New Roman CYR" w:cs="Times New Roman"/>
          <w:b/>
          <w:lang w:eastAsia="ru-RU"/>
        </w:rPr>
        <w:t xml:space="preserve">.2024 № </w:t>
      </w:r>
      <w:r>
        <w:rPr>
          <w:rFonts w:ascii="Times New Roman CYR" w:eastAsia="Times New Roman" w:hAnsi="Times New Roman CYR" w:cs="Times New Roman"/>
          <w:b/>
          <w:lang w:eastAsia="ru-RU"/>
        </w:rPr>
        <w:t>94</w:t>
      </w:r>
      <w:r w:rsidRPr="00DD21AA">
        <w:rPr>
          <w:rFonts w:ascii="Times New Roman CYR" w:eastAsia="Times New Roman" w:hAnsi="Times New Roman CYR" w:cs="Times New Roman"/>
          <w:lang w:eastAsia="ru-RU"/>
        </w:rPr>
        <w:t xml:space="preserve"> п. Прогресс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сроках составления проекта 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B2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2025 год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плановый период 2026 и 2027 годов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850" w:rsidRPr="002B2850" w:rsidRDefault="002B2850" w:rsidP="002B2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Бюджетным кодексом Российской Федерации и решением Совета депутатов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31.10.2016 года № 42 «Об утверждении Положения о бюджетном процессе в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поселении», в целях разработки проекта бюджета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и плановый период 2026 и 2027 годов</w:t>
      </w:r>
      <w:r w:rsidRPr="002B2850">
        <w:rPr>
          <w:rFonts w:ascii="Times New Roman" w:eastAsia="Calibri" w:hAnsi="Times New Roman" w:cs="Times New Roman"/>
          <w:sz w:val="20"/>
          <w:szCs w:val="20"/>
        </w:rPr>
        <w:t xml:space="preserve"> Администрация </w:t>
      </w:r>
      <w:proofErr w:type="spellStart"/>
      <w:r w:rsidRPr="002B2850">
        <w:rPr>
          <w:rFonts w:ascii="Times New Roman" w:eastAsia="Calibri" w:hAnsi="Times New Roman" w:cs="Times New Roman"/>
          <w:sz w:val="20"/>
          <w:szCs w:val="20"/>
        </w:rPr>
        <w:t>Прогресского</w:t>
      </w:r>
      <w:proofErr w:type="spellEnd"/>
      <w:r w:rsidRPr="002B2850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r w:rsidRPr="002B285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B2850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  <w:proofErr w:type="gramEnd"/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прилагаемый Порядок и сроки составления проекта бюджета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 на 2025 год и плановый период 2026 и 2027 годов (далее - Порядок).</w:t>
      </w:r>
    </w:p>
    <w:p w:rsidR="002B2850" w:rsidRPr="002B2850" w:rsidRDefault="002B2850" w:rsidP="002B2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составление и составить проект бюджета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и на плановый период 2026 и 2027 годов, с учетом мероприятий, предусмотренных порядком к настоящему постановлению, включая показатели межбюджетных отношений с областным бюджетом и бюджетом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района, в соответствии с бюджетным законодательством Российской Федерации, Посланием Президента Российской Федерации Федеральному Собранию Российской Федерации.</w:t>
      </w:r>
      <w:proofErr w:type="gramEnd"/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В целях составления проекта бюджета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и на плановый период 2026 и 2027 годов: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существить прогнозирование налоговых и неналоговых доходов на 2025 год и на плановый период 2026 и 2027 годов;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твердить порядок и методику планирования бюджетных ассигнований на 2025 год и на плановый период 2026 и 2027 годов;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существить планирование бюджетных ассигнований на 2025 год и на плановый период 2026 и 2027  годов в порядке и в соответствии с методикой, указанными в пункте 3.2 настоящего постановления.                                       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Установить, что муниципальные программы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предлагаемые к реализации, начиная с 2025 года, подлежат утверждению до 01 ноября 2024 года.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Представить проект решения Совета депутатов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«Об утверждении бюджета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на 2025 год и на плановый период 2026 и 2027  годов»  на рассмотрение Совета депутатов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не позднее 15 ноября 2024 года.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постановления оставляю за собой.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B2850">
        <w:rPr>
          <w:rFonts w:ascii="Times New Roman" w:eastAsia="Calibri" w:hAnsi="Times New Roman" w:cs="Times New Roman"/>
          <w:sz w:val="20"/>
          <w:szCs w:val="20"/>
        </w:rPr>
        <w:t>7. Настоящее постановление вступает в силу с момента подписания.</w:t>
      </w:r>
    </w:p>
    <w:p w:rsidR="002B2850" w:rsidRPr="002B2850" w:rsidRDefault="002B2850" w:rsidP="002B2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2B2850">
        <w:rPr>
          <w:rFonts w:ascii="Times New Roman" w:eastAsia="Calibri" w:hAnsi="Times New Roman" w:cs="Times New Roman"/>
          <w:sz w:val="20"/>
          <w:szCs w:val="20"/>
        </w:rPr>
        <w:t xml:space="preserve">Опубликовать постановление в бюллетене «Официальный вестник </w:t>
      </w:r>
      <w:proofErr w:type="spellStart"/>
      <w:r w:rsidRPr="002B2850">
        <w:rPr>
          <w:rFonts w:ascii="Times New Roman" w:eastAsia="Calibri" w:hAnsi="Times New Roman" w:cs="Times New Roman"/>
          <w:sz w:val="20"/>
          <w:szCs w:val="20"/>
        </w:rPr>
        <w:t>Прогресского</w:t>
      </w:r>
      <w:proofErr w:type="spellEnd"/>
      <w:r w:rsidRPr="002B2850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поселения», </w:t>
      </w:r>
      <w:proofErr w:type="gram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официальном сайте Администрации </w:t>
      </w:r>
      <w:proofErr w:type="spellStart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2B2850" w:rsidRPr="002B2850" w:rsidRDefault="002B2850" w:rsidP="002B2850">
      <w:pPr>
        <w:spacing w:after="0" w:line="340" w:lineRule="exact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B285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Глава сельского поселения:                                       В. В. Демьянова</w:t>
      </w:r>
    </w:p>
    <w:p w:rsidR="002B2850" w:rsidRPr="002B2850" w:rsidRDefault="002B2850" w:rsidP="002B2850">
      <w:pPr>
        <w:spacing w:after="0" w:line="340" w:lineRule="exac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2850" w:rsidRPr="002B2850" w:rsidRDefault="002B2850" w:rsidP="002B2850">
      <w:pPr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B285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УТВЕРЖДЕН</w:t>
      </w:r>
    </w:p>
    <w:p w:rsidR="002B2850" w:rsidRPr="002B2850" w:rsidRDefault="002B2850" w:rsidP="002B2850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B285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постановлением Администрации</w:t>
      </w:r>
    </w:p>
    <w:p w:rsidR="002B2850" w:rsidRPr="002B2850" w:rsidRDefault="002B2850" w:rsidP="002B2850">
      <w:pPr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proofErr w:type="spellStart"/>
      <w:r w:rsidRPr="002B285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Прогресского</w:t>
      </w:r>
      <w:proofErr w:type="spellEnd"/>
      <w:r w:rsidRPr="002B285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сельского поселения</w:t>
      </w:r>
    </w:p>
    <w:p w:rsidR="002B2850" w:rsidRPr="002B2850" w:rsidRDefault="002B2850" w:rsidP="002B2850">
      <w:pPr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B285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от   26.08.2024 № 94 </w:t>
      </w:r>
    </w:p>
    <w:p w:rsidR="002B2850" w:rsidRPr="002B2850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B2850" w:rsidRPr="002B2850" w:rsidRDefault="002B2850" w:rsidP="002B28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850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2B2850" w:rsidRPr="002B2850" w:rsidRDefault="002B2850" w:rsidP="002B28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850">
        <w:rPr>
          <w:rFonts w:ascii="Times New Roman" w:eastAsia="Times New Roman" w:hAnsi="Times New Roman" w:cs="Times New Roman"/>
          <w:b/>
          <w:bCs/>
          <w:lang w:eastAsia="ru-RU"/>
        </w:rPr>
        <w:t xml:space="preserve">и сроки составления проекта бюджета </w:t>
      </w:r>
      <w:proofErr w:type="spellStart"/>
      <w:r w:rsidRPr="002B2850">
        <w:rPr>
          <w:rFonts w:ascii="Times New Roman" w:eastAsia="Times New Roman" w:hAnsi="Times New Roman" w:cs="Times New Roman"/>
          <w:b/>
          <w:bCs/>
          <w:lang w:eastAsia="ru-RU"/>
        </w:rPr>
        <w:t>Прогресского</w:t>
      </w:r>
      <w:proofErr w:type="spellEnd"/>
      <w:r w:rsidRPr="002B2850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2025 год и на плановый период 2026 и 2027 годов</w:t>
      </w:r>
    </w:p>
    <w:tbl>
      <w:tblPr>
        <w:tblW w:w="5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3552"/>
        <w:gridCol w:w="1689"/>
        <w:gridCol w:w="3012"/>
      </w:tblGrid>
      <w:tr w:rsidR="002B2850" w:rsidRPr="002B2850" w:rsidTr="002B2850">
        <w:trPr>
          <w:tblHeader/>
          <w:jc w:val="center"/>
        </w:trPr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B2850" w:rsidRPr="002B2850" w:rsidRDefault="002B2850" w:rsidP="002B285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8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2B2850" w:rsidRPr="002B2850" w:rsidRDefault="002B2850" w:rsidP="002B285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2B2850" w:rsidRPr="002B2850" w:rsidTr="002B2850">
        <w:trPr>
          <w:tblHeader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    1.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района: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Прогноза поступлений доходов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proofErr w:type="spellEnd"/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Pr="002B2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 доходам, которые администрирует </w:t>
            </w:r>
            <w:proofErr w:type="spellStart"/>
            <w:r w:rsidRPr="002B285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</w:t>
            </w:r>
            <w:r w:rsidR="003E479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28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ция</w:t>
            </w:r>
            <w:proofErr w:type="spellEnd"/>
            <w:r w:rsidRPr="002B28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поселения)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разрезе </w:t>
            </w:r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кодов классификации доходов бюджетов бюджетной системы Российской Федерации</w:t>
            </w:r>
            <w:proofErr w:type="gram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2025-2027 годы и его обоснования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12.08.2024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Оценки неналогового потенциала от использования и продажи имущества, находящегося в муниципальной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венности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Прогресскому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сельскому поселению на 2025-2027 годы</w:t>
            </w:r>
            <w:proofErr w:type="gramEnd"/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12.08.2024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в Администрацию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поселения: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2.  1.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Предложений, расчетов и обоснований  для формирования бюджета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2025 год и на плановый период 2026 и 2027 годов, данные  представляются в разрезе бюджетных ассигнований на исполнение действующих и </w:t>
            </w:r>
            <w:proofErr w:type="spellStart"/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емых</w:t>
            </w:r>
            <w:proofErr w:type="spellEnd"/>
            <w:proofErr w:type="gram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обязательств (ст. 174.2 БК РФ)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2.  2.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о предельной штатной численности органов местного </w:t>
            </w:r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proofErr w:type="gram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2025-2027 годы, согласованной с Главой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постановления Администрации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об утверждении Прогноза социально-экономического развития поселения на 2025-2027 годы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25.10.2024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 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информации о </w:t>
            </w:r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  <w:proofErr w:type="gram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итогах социально-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</w:t>
            </w:r>
            <w:proofErr w:type="spellEnd"/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9 месяцев 2024 года и ожидаемых итогах  социально-экономического развития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за 2024 год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25.10.2024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совместно со специалистами Администрации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 и согласование с главным специалистом по финансовым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</w:t>
            </w:r>
            <w:proofErr w:type="spellEnd"/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 муниципальных программ,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гаемых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финансированию, начиная с 2025 года, а также проектов изменений в ранее утвержденные муниципальные программы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proofErr w:type="gramEnd"/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25.10.2024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2B2850" w:rsidRPr="002B2850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исполнители  муниципальных программ  </w:t>
            </w:r>
            <w:proofErr w:type="spellStart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2B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3E4797">
        <w:trPr>
          <w:trHeight w:val="270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6.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главному специалисту  по финансовым вопросам паспортов муниципальных программ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</w:t>
            </w:r>
            <w:r w:rsid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(проектов </w:t>
            </w: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изменений в указанные паспорта)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01.11.2024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исполнители  муниципальных программ 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B2850" w:rsidRPr="003E4797" w:rsidRDefault="002B2850" w:rsidP="002B2850">
            <w:pPr>
              <w:spacing w:after="0" w:line="240" w:lineRule="auto"/>
              <w:ind w:left="3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постановления Администрации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«Об основных направлениях бюджетной и налоговой политики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2025-2027 годы»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01.11.2024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2B2850">
        <w:trPr>
          <w:trHeight w:val="465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8.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представление Главе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параметров бюджета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2025 год и на плановый период 2026 и 2027 годов, подготовленных на  основе:</w:t>
            </w:r>
          </w:p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прогноза поступлений доходов с учетом данных главных администраторов доходов бюджета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поселения;</w:t>
            </w:r>
          </w:p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предельных показателей расходов бюджета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05.11.2024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2B2850" w:rsidRPr="002B2850" w:rsidTr="003E4797">
        <w:trPr>
          <w:trHeight w:val="4544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2850" w:rsidRPr="003E4797" w:rsidRDefault="002B2850" w:rsidP="002B2850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3E479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Подготовка и представление на </w:t>
            </w:r>
            <w:proofErr w:type="gram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смотрение</w:t>
            </w:r>
            <w:proofErr w:type="gram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  <w:proofErr w:type="spell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Прогрес</w:t>
            </w:r>
            <w:r w:rsid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и в Конт</w:t>
            </w:r>
            <w:r w:rsid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рольно</w:t>
            </w:r>
            <w:proofErr w:type="spell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-счетную палату </w:t>
            </w:r>
            <w:proofErr w:type="spell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на заключение:</w:t>
            </w:r>
          </w:p>
          <w:p w:rsidR="003E4797" w:rsidRDefault="003E4797" w:rsidP="003E479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B2850" w:rsidRPr="003E4797" w:rsidRDefault="002B2850" w:rsidP="003E479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проекта решения Совета депутатов </w:t>
            </w:r>
            <w:proofErr w:type="spell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«Об утверждении бюджета </w:t>
            </w:r>
            <w:proofErr w:type="spell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2025 год и на плановый период 2026 и 2027 годов», документов и материалов, представляемых одновременно с проектом решения, в соответствии с пунктом 3.2 решения от 31.10.2016 года № 42 «Об утверждении Положения о бюджетном процессе в </w:t>
            </w:r>
            <w:proofErr w:type="spellStart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E47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поселении»</w:t>
            </w:r>
            <w:proofErr w:type="gramEnd"/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:rsidR="002B2850" w:rsidRPr="003E4797" w:rsidRDefault="002B2850" w:rsidP="002B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3E4797" w:rsidRPr="002B2850" w:rsidTr="003E4797">
        <w:trPr>
          <w:trHeight w:val="2822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3E4797" w:rsidRPr="003E4797" w:rsidRDefault="003E4797" w:rsidP="00D155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4797" w:rsidRPr="003E4797" w:rsidRDefault="003E4797" w:rsidP="00D155DB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3E4797" w:rsidRPr="003E4797" w:rsidRDefault="003E4797" w:rsidP="00D1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в Комитет финансов Администрации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распределения расходов бюджета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по классификации расходов бюджета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3E4797" w:rsidRPr="003E4797" w:rsidRDefault="003E4797" w:rsidP="00D1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после утверждения Главой поселения показателей расходов местного бюджета на 2025 год и на плановый период 2026 и 2027 годов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:rsidR="003E4797" w:rsidRPr="003E4797" w:rsidRDefault="003E4797" w:rsidP="00D1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:rsidR="002B2850" w:rsidRPr="002B2850" w:rsidRDefault="002B2850" w:rsidP="002B2850">
      <w:pPr>
        <w:rPr>
          <w:rFonts w:ascii="Times New Roman" w:eastAsia="Calibri" w:hAnsi="Times New Roman" w:cs="Times New Roman"/>
          <w:sz w:val="28"/>
          <w:szCs w:val="28"/>
        </w:rPr>
      </w:pPr>
    </w:p>
    <w:p w:rsidR="002B2850" w:rsidRPr="003E4797" w:rsidRDefault="002B2850" w:rsidP="003E4797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B2850" w:rsidRPr="003E4797" w:rsidRDefault="003E4797" w:rsidP="003E4797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17</w:t>
      </w:r>
    </w:p>
    <w:p w:rsidR="003E4797" w:rsidRPr="00DD21AA" w:rsidRDefault="003E4797" w:rsidP="003E4797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D21AA">
        <w:rPr>
          <w:rFonts w:ascii="Times New Roman" w:eastAsia="Times New Roman" w:hAnsi="Times New Roman" w:cs="Times New Roman"/>
          <w:b/>
          <w:color w:val="000000"/>
        </w:rPr>
        <w:t>ПОСТАНОВЛЕНИЕ АДМИНИСТРАЦИИ ПРОГРЕССКОГО СЕЛЬСКОГО ПОСЕЛЕНИЯ</w:t>
      </w:r>
    </w:p>
    <w:p w:rsidR="003E4797" w:rsidRPr="003E4797" w:rsidRDefault="003E4797" w:rsidP="003E479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bookmarkStart w:id="0" w:name="_GoBack"/>
      <w:bookmarkEnd w:id="0"/>
      <w:r w:rsidRPr="007D2555">
        <w:rPr>
          <w:rFonts w:ascii="Times New Roman CYR" w:eastAsia="Times New Roman" w:hAnsi="Times New Roman CYR" w:cs="Times New Roman"/>
          <w:b/>
          <w:lang w:eastAsia="ru-RU"/>
        </w:rPr>
        <w:t>28</w:t>
      </w:r>
      <w:r w:rsidRPr="007D2555">
        <w:rPr>
          <w:rFonts w:ascii="Times New Roman CYR" w:eastAsia="Times New Roman" w:hAnsi="Times New Roman CYR" w:cs="Times New Roman"/>
          <w:b/>
          <w:lang w:eastAsia="ru-RU"/>
        </w:rPr>
        <w:t xml:space="preserve">.08.2024 № </w:t>
      </w:r>
      <w:r w:rsidRPr="007D2555">
        <w:rPr>
          <w:rFonts w:ascii="Times New Roman CYR" w:eastAsia="Times New Roman" w:hAnsi="Times New Roman CYR" w:cs="Times New Roman"/>
          <w:b/>
          <w:lang w:eastAsia="ru-RU"/>
        </w:rPr>
        <w:t>95</w:t>
      </w:r>
      <w:r w:rsidRPr="003E479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п. Прогресс</w:t>
      </w:r>
    </w:p>
    <w:p w:rsidR="003E4797" w:rsidRPr="003E4797" w:rsidRDefault="003E4797" w:rsidP="003E4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4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E4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Pr="003E4797">
        <w:rPr>
          <w:rFonts w:ascii="Times New Roman" w:eastAsia="Times New Roman" w:hAnsi="Times New Roman" w:cs="Times New Roman"/>
          <w:b/>
          <w:lang w:eastAsia="ru-RU"/>
        </w:rPr>
        <w:t>16.12.2021 № 122</w:t>
      </w:r>
    </w:p>
    <w:p w:rsidR="003E4797" w:rsidRPr="003E4797" w:rsidRDefault="003E4797" w:rsidP="003E47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4797" w:rsidRPr="003E4797" w:rsidRDefault="003E4797" w:rsidP="007D2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8" w:anchor="Par36" w:tooltip="ОБЩИЕ ТРЕБОВАНИЯ" w:history="1">
        <w:r w:rsidRPr="003E47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требований</w:t>
        </w:r>
      </w:hyperlink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3E47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ПОСТАНОВЛЯЕТ:</w:t>
      </w:r>
    </w:p>
    <w:p w:rsidR="003E4797" w:rsidRPr="003E4797" w:rsidRDefault="003E4797" w:rsidP="007D2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797" w:rsidRPr="003E4797" w:rsidRDefault="003E4797" w:rsidP="007D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Внести изменения в постановление Администрации </w:t>
      </w:r>
      <w:proofErr w:type="spellStart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16.12.2021 г. № 122 «</w:t>
      </w:r>
      <w:r w:rsidRPr="003E4797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перечня главных администраторов доходов бюджета </w:t>
      </w:r>
      <w:proofErr w:type="spellStart"/>
      <w:r w:rsidRPr="003E4797">
        <w:rPr>
          <w:rFonts w:ascii="Times New Roman" w:eastAsia="Times New Roman" w:hAnsi="Times New Roman" w:cs="Times New Roman"/>
          <w:sz w:val="20"/>
          <w:szCs w:val="20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>»:</w:t>
      </w:r>
    </w:p>
    <w:p w:rsidR="003E4797" w:rsidRPr="003E4797" w:rsidRDefault="003E4797" w:rsidP="007D2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добавив строку  в  раздел   </w:t>
      </w:r>
      <w:r w:rsidRPr="003E479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Перечня главных администраторов доходов бюджета </w:t>
      </w:r>
      <w:proofErr w:type="spellStart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поселения:</w:t>
      </w:r>
    </w:p>
    <w:p w:rsidR="003E4797" w:rsidRPr="003E4797" w:rsidRDefault="003E4797" w:rsidP="003E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32"/>
        <w:gridCol w:w="924"/>
        <w:gridCol w:w="2621"/>
        <w:gridCol w:w="5688"/>
      </w:tblGrid>
      <w:tr w:rsidR="003E4797" w:rsidRPr="003E4797" w:rsidTr="00D155DB">
        <w:trPr>
          <w:cantSplit/>
          <w:trHeight w:val="20"/>
          <w:jc w:val="center"/>
        </w:trPr>
        <w:tc>
          <w:tcPr>
            <w:tcW w:w="832" w:type="dxa"/>
          </w:tcPr>
          <w:p w:rsidR="003E4797" w:rsidRPr="003E4797" w:rsidRDefault="003E4797" w:rsidP="003E4797">
            <w:pPr>
              <w:spacing w:before="6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924" w:type="dxa"/>
          </w:tcPr>
          <w:p w:rsidR="003E4797" w:rsidRPr="003E4797" w:rsidRDefault="003E4797" w:rsidP="003E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79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621" w:type="dxa"/>
          </w:tcPr>
          <w:p w:rsidR="003E4797" w:rsidRPr="003E4797" w:rsidRDefault="003E4797" w:rsidP="003E4797">
            <w:pPr>
              <w:spacing w:before="60" w:after="2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5688" w:type="dxa"/>
          </w:tcPr>
          <w:p w:rsidR="003E4797" w:rsidRPr="003E4797" w:rsidRDefault="003E4797" w:rsidP="003E4797">
            <w:pPr>
              <w:spacing w:before="60" w:after="2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4797">
              <w:rPr>
                <w:rFonts w:ascii="Times New Roman" w:eastAsia="Calibri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</w:tbl>
    <w:p w:rsidR="003E4797" w:rsidRPr="003E4797" w:rsidRDefault="003E4797" w:rsidP="003E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47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2.</w:t>
      </w:r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47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2024 год и на плановый период 2025 и 2026 годов. </w:t>
      </w:r>
    </w:p>
    <w:p w:rsidR="003E4797" w:rsidRPr="003E4797" w:rsidRDefault="003E4797" w:rsidP="003E4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7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3. </w:t>
      </w:r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поселения» и на официальном сайте Администрации  </w:t>
      </w:r>
      <w:proofErr w:type="spellStart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3E47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3E4797" w:rsidRPr="003E4797" w:rsidRDefault="003E4797" w:rsidP="007D2555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3E47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Глава сельского поселения                                                  В. В. Демьянова</w:t>
      </w:r>
    </w:p>
    <w:p w:rsidR="003E4797" w:rsidRPr="003E4797" w:rsidRDefault="003E4797" w:rsidP="003E4797">
      <w:pPr>
        <w:spacing w:after="0" w:line="240" w:lineRule="exact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B2850" w:rsidRPr="003E4797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B2850" w:rsidRPr="003E4797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B2850" w:rsidRPr="003E4797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B2850" w:rsidRPr="002B2850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2850" w:rsidRPr="002B2850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2850" w:rsidRPr="002B2850" w:rsidRDefault="002B2850" w:rsidP="002B2850">
      <w:pPr>
        <w:spacing w:after="0" w:line="240" w:lineRule="exact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B2850" w:rsidRPr="00DD21AA" w:rsidRDefault="002B2850" w:rsidP="002B2850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</w:p>
    <w:p w:rsidR="002B2850" w:rsidRPr="002B2850" w:rsidRDefault="002B2850" w:rsidP="002B285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B2850" w:rsidRPr="002B2850" w:rsidSect="00E50C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412EF"/>
    <w:multiLevelType w:val="multilevel"/>
    <w:tmpl w:val="0032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B3387"/>
    <w:multiLevelType w:val="multilevel"/>
    <w:tmpl w:val="D3C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A9"/>
    <w:rsid w:val="00213815"/>
    <w:rsid w:val="002B2850"/>
    <w:rsid w:val="00323CA9"/>
    <w:rsid w:val="003E4797"/>
    <w:rsid w:val="00734F61"/>
    <w:rsid w:val="007D2555"/>
    <w:rsid w:val="00C93327"/>
    <w:rsid w:val="00CF0C18"/>
    <w:rsid w:val="00DD21AA"/>
    <w:rsid w:val="00E50CB2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8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4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5DE~1/AppData/Local/Temp/Rar$DIa1144.19123/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A68B-52B1-4385-9D3A-E8ACF9D8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8280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2024-09-30T12:39:00Z</cp:lastPrinted>
  <dcterms:created xsi:type="dcterms:W3CDTF">2024-09-17T10:55:00Z</dcterms:created>
  <dcterms:modified xsi:type="dcterms:W3CDTF">2024-09-30T12:40:00Z</dcterms:modified>
</cp:coreProperties>
</file>